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bidi w:val="0"/>
        <w:jc w:val="center"/>
        <w:rPr>
          <w:rFonts w:ascii="Liberation Serif;Times New Roman" w:hAnsi="Liberation Serif;Times New Roman" w:cs="Liberation Serif;Times New Roman"/>
          <w:b/>
          <w:b/>
          <w:sz w:val="28"/>
          <w:szCs w:val="28"/>
        </w:rPr>
      </w:pPr>
      <w:r>
        <w:rPr/>
        <w:drawing>
          <wp:inline distT="0" distB="0" distL="0" distR="0">
            <wp:extent cx="480060" cy="7454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 t="-96" r="-148" b="-96"/>
                    <a:stretch>
                      <a:fillRect/>
                    </a:stretch>
                  </pic:blipFill>
                  <pic:spPr bwMode="auto">
                    <a:xfrm>
                      <a:off x="0" y="0"/>
                      <a:ext cx="480060" cy="745490"/>
                    </a:xfrm>
                    <a:prstGeom prst="rect">
                      <a:avLst/>
                    </a:prstGeom>
                  </pic:spPr>
                </pic:pic>
              </a:graphicData>
            </a:graphic>
          </wp:inline>
        </w:drawing>
      </w:r>
    </w:p>
    <w:p>
      <w:pPr>
        <w:pStyle w:val="Style28"/>
        <w:widowControl w:val="false"/>
        <w:bidi w:val="0"/>
        <w:spacing w:lineRule="auto" w:line="240" w:before="0" w:after="0"/>
        <w:ind w:left="0" w:right="0" w:hanging="0"/>
        <w:jc w:val="center"/>
        <w:rPr/>
      </w:pPr>
      <w:r>
        <w:rPr>
          <w:rStyle w:val="Style19"/>
          <w:rFonts w:eastAsia="Liberation Serif;Times New Roman" w:cs="Liberation Serif;Times New Roman" w:ascii="Liberation Serif;Times New Roman" w:hAnsi="Liberation Serif;Times New Roman"/>
          <w:b/>
          <w:bCs/>
          <w:sz w:val="28"/>
          <w:szCs w:val="28"/>
        </w:rPr>
        <w:t>АДМИНИСТРАЦИЯ КАМЫШЛОВСКОГО ГОРОДСКОГО ОКРУГА</w:t>
      </w:r>
    </w:p>
    <w:p>
      <w:pPr>
        <w:pStyle w:val="Style28"/>
        <w:widowControl w:val="false"/>
        <w:bidi w:val="0"/>
        <w:spacing w:lineRule="auto" w:line="240" w:before="0" w:after="0"/>
        <w:ind w:left="0" w:right="0" w:hanging="0"/>
        <w:jc w:val="center"/>
        <w:rPr/>
      </w:pPr>
      <w:r>
        <w:rPr>
          <w:rStyle w:val="Style19"/>
          <w:rFonts w:eastAsia="Liberation Serif;Times New Roman" w:cs="Liberation Serif;Times New Roman" w:ascii="Liberation Serif;Times New Roman" w:hAnsi="Liberation Serif;Times New Roman"/>
          <w:b/>
          <w:bCs/>
          <w:sz w:val="28"/>
          <w:szCs w:val="28"/>
        </w:rPr>
        <w:t xml:space="preserve">   </w:t>
      </w:r>
      <w:r>
        <w:rPr>
          <w:rStyle w:val="Style19"/>
          <w:rFonts w:eastAsia="Liberation Serif;Times New Roman" w:cs="Liberation Serif;Times New Roman" w:ascii="Liberation Serif;Times New Roman" w:hAnsi="Liberation Serif;Times New Roman"/>
          <w:b/>
          <w:bCs/>
          <w:sz w:val="28"/>
          <w:szCs w:val="28"/>
        </w:rPr>
        <w:t>П О С Т А Н О В Л Е Н И Е</w:t>
      </w:r>
    </w:p>
    <w:p>
      <w:pPr>
        <w:pStyle w:val="Style28"/>
        <w:widowControl w:val="false"/>
        <w:pBdr>
          <w:top w:val="double" w:sz="12" w:space="1" w:color="000000"/>
        </w:pBdr>
        <w:bidi w:val="0"/>
        <w:spacing w:lineRule="auto" w:line="240" w:before="0" w:after="0"/>
        <w:ind w:left="0" w:right="0" w:hanging="0"/>
        <w:jc w:val="left"/>
        <w:rPr>
          <w:rFonts w:ascii="Liberation Serif;Times New Roman" w:hAnsi="Liberation Serif;Times New Roman" w:eastAsia="Liberation Serif;Times New Roman" w:cs="Liberation Serif;Times New Roman"/>
          <w:b/>
          <w:b/>
          <w:bCs/>
          <w:szCs w:val="28"/>
        </w:rPr>
      </w:pPr>
      <w:r>
        <w:rPr>
          <w:rFonts w:eastAsia="Liberation Serif;Times New Roman" w:cs="Liberation Serif;Times New Roman" w:ascii="Liberation Serif;Times New Roman" w:hAnsi="Liberation Serif;Times New Roman"/>
          <w:b/>
          <w:bCs/>
          <w:szCs w:val="28"/>
        </w:rPr>
      </w:r>
    </w:p>
    <w:p>
      <w:pPr>
        <w:pStyle w:val="Style28"/>
        <w:widowControl w:val="false"/>
        <w:pBdr>
          <w:top w:val="double" w:sz="12" w:space="1" w:color="000000"/>
        </w:pBdr>
        <w:bidi w:val="0"/>
        <w:spacing w:lineRule="auto" w:line="240" w:before="0" w:after="0"/>
        <w:ind w:left="0" w:right="0" w:hanging="0"/>
        <w:jc w:val="left"/>
        <w:rPr>
          <w:rFonts w:ascii="Liberation Serif;Times New Roman" w:hAnsi="Liberation Serif;Times New Roman" w:eastAsia="Liberation Serif;Times New Roman" w:cs="Liberation Serif;Times New Roman"/>
          <w:b/>
          <w:b/>
          <w:bCs/>
          <w:szCs w:val="28"/>
        </w:rPr>
      </w:pPr>
      <w:r>
        <w:rPr>
          <w:rFonts w:eastAsia="Liberation Serif;Times New Roman" w:cs="Liberation Serif;Times New Roman" w:ascii="Liberation Serif;Times New Roman" w:hAnsi="Liberation Serif;Times New Roman"/>
          <w:b/>
          <w:bCs/>
          <w:szCs w:val="28"/>
        </w:rPr>
      </w:r>
    </w:p>
    <w:p>
      <w:pPr>
        <w:pStyle w:val="Normal"/>
        <w:tabs>
          <w:tab w:val="clear" w:pos="708"/>
          <w:tab w:val="left" w:pos="2950" w:leader="none"/>
        </w:tabs>
        <w:ind w:left="0" w:right="0" w:hanging="0"/>
        <w:jc w:val="both"/>
        <w:rPr>
          <w:rFonts w:ascii="Liberation Serif" w:hAnsi="Liberation Serif"/>
          <w:sz w:val="26"/>
          <w:szCs w:val="26"/>
        </w:rPr>
      </w:pPr>
      <w:r>
        <w:rPr>
          <w:rStyle w:val="Style19"/>
          <w:rFonts w:eastAsia="Liberation Serif;Times New Roman" w:cs="Liberation Serif;Times New Roman" w:ascii="Liberation Serif;Times New Roman" w:hAnsi="Liberation Serif;Times New Roman"/>
          <w:b/>
          <w:bCs/>
          <w:i w:val="false"/>
          <w:iCs w:val="false"/>
          <w:color w:val="000000"/>
          <w:sz w:val="28"/>
          <w:szCs w:val="28"/>
        </w:rPr>
        <w:t>от 23.</w:t>
      </w:r>
      <w:r>
        <w:rPr>
          <w:rStyle w:val="Style19"/>
          <w:rFonts w:eastAsia="Liberation Serif;Times New Roman" w:cs="Liberation Serif;Times New Roman" w:ascii="Liberation Serif;Times New Roman" w:hAnsi="Liberation Serif;Times New Roman"/>
          <w:b/>
          <w:bCs/>
          <w:i w:val="false"/>
          <w:iCs w:val="false"/>
          <w:color w:val="26282F"/>
          <w:sz w:val="28"/>
          <w:szCs w:val="28"/>
        </w:rPr>
        <w:t>11.2021</w:t>
      </w:r>
      <w:r>
        <w:rPr>
          <w:rStyle w:val="Style19"/>
          <w:rFonts w:eastAsia="Liberation Serif;Times New Roman" w:cs="Liberation Serif;Times New Roman" w:ascii="Liberation Serif;Times New Roman" w:hAnsi="Liberation Serif;Times New Roman"/>
          <w:b/>
          <w:bCs/>
          <w:i w:val="false"/>
          <w:iCs w:val="false"/>
          <w:color w:val="000000"/>
          <w:sz w:val="28"/>
          <w:szCs w:val="28"/>
        </w:rPr>
        <w:t xml:space="preserve">  N 860</w:t>
      </w:r>
    </w:p>
    <w:p>
      <w:pPr>
        <w:pStyle w:val="Normal"/>
        <w:jc w:val="center"/>
        <w:rPr>
          <w:rFonts w:ascii="Liberation Serif" w:hAnsi="Liberation Serif"/>
          <w:sz w:val="26"/>
          <w:szCs w:val="26"/>
        </w:rPr>
      </w:pPr>
      <w:r>
        <w:rPr>
          <w:rFonts w:ascii="Liberation Serif" w:hAnsi="Liberation Serif"/>
          <w:sz w:val="26"/>
          <w:szCs w:val="26"/>
        </w:rPr>
      </w:r>
    </w:p>
    <w:p>
      <w:pPr>
        <w:pStyle w:val="Normal"/>
        <w:jc w:val="center"/>
        <w:rPr>
          <w:rFonts w:ascii="Liberation Serif" w:hAnsi="Liberation Serif"/>
          <w:b/>
          <w:b/>
          <w:sz w:val="28"/>
          <w:szCs w:val="28"/>
        </w:rPr>
      </w:pPr>
      <w:r>
        <w:rPr>
          <w:rFonts w:ascii="Liberation Serif" w:hAnsi="Liberation Serif"/>
          <w:b/>
          <w:sz w:val="28"/>
          <w:szCs w:val="28"/>
        </w:rPr>
        <w:t xml:space="preserve">Об утверждении основных направлений долговой политики </w:t>
      </w:r>
    </w:p>
    <w:p>
      <w:pPr>
        <w:pStyle w:val="Normal"/>
        <w:jc w:val="center"/>
        <w:rPr>
          <w:rFonts w:ascii="Liberation Serif" w:hAnsi="Liberation Serif"/>
          <w:b/>
          <w:b/>
          <w:sz w:val="28"/>
          <w:szCs w:val="28"/>
        </w:rPr>
      </w:pPr>
      <w:r>
        <w:rPr>
          <w:rFonts w:ascii="Liberation Serif" w:hAnsi="Liberation Serif"/>
          <w:b/>
          <w:sz w:val="28"/>
          <w:szCs w:val="28"/>
        </w:rPr>
        <w:t xml:space="preserve">Камышловского городского округа </w:t>
      </w:r>
    </w:p>
    <w:p>
      <w:pPr>
        <w:pStyle w:val="Normal"/>
        <w:jc w:val="center"/>
        <w:rPr>
          <w:rFonts w:ascii="Liberation Serif" w:hAnsi="Liberation Serif"/>
          <w:b/>
          <w:b/>
          <w:sz w:val="28"/>
          <w:szCs w:val="28"/>
        </w:rPr>
      </w:pPr>
      <w:r>
        <w:rPr>
          <w:rFonts w:ascii="Liberation Serif" w:hAnsi="Liberation Serif"/>
          <w:b/>
          <w:sz w:val="28"/>
          <w:szCs w:val="28"/>
        </w:rPr>
        <w:t>на 2022 год и плановый период 2023 и 2024 годов</w:t>
      </w:r>
    </w:p>
    <w:p>
      <w:pPr>
        <w:pStyle w:val="Normal"/>
        <w:widowControl w:val="false"/>
        <w:jc w:val="both"/>
        <w:rPr>
          <w:rFonts w:ascii="Liberation Serif" w:hAnsi="Liberation Serif"/>
          <w:bCs w:val="false"/>
          <w:sz w:val="28"/>
          <w:szCs w:val="28"/>
        </w:rPr>
      </w:pPr>
      <w:r>
        <w:rPr>
          <w:rFonts w:ascii="Liberation Serif" w:hAnsi="Liberation Serif"/>
          <w:bCs w:val="false"/>
          <w:sz w:val="28"/>
          <w:szCs w:val="28"/>
        </w:rPr>
      </w:r>
    </w:p>
    <w:p>
      <w:pPr>
        <w:pStyle w:val="Normal"/>
        <w:spacing w:lineRule="auto" w:line="235" w:before="19" w:after="19"/>
        <w:ind w:firstLine="720"/>
        <w:jc w:val="both"/>
        <w:rPr>
          <w:rFonts w:ascii="Liberation Serif" w:hAnsi="Liberation Serif"/>
          <w:bCs w:val="false"/>
          <w:sz w:val="28"/>
          <w:szCs w:val="28"/>
        </w:rPr>
      </w:pPr>
      <w:r>
        <w:rPr>
          <w:rFonts w:ascii="Liberation Serif" w:hAnsi="Liberation Serif"/>
          <w:bCs w:val="false"/>
          <w:sz w:val="28"/>
          <w:szCs w:val="28"/>
        </w:rPr>
        <w:t>В соответствии со статьей 107.1 Бюджетного кодекса</w:t>
      </w:r>
      <w:r>
        <w:rPr>
          <w:rFonts w:ascii="Liberation Serif" w:hAnsi="Liberation Serif"/>
          <w:sz w:val="28"/>
          <w:szCs w:val="28"/>
        </w:rPr>
        <w:t xml:space="preserve">, руководствуясь Уставом Камышловского городского округа, </w:t>
      </w:r>
      <w:r>
        <w:rPr>
          <w:rFonts w:ascii="Liberation Serif" w:hAnsi="Liberation Serif"/>
          <w:bCs w:val="false"/>
          <w:sz w:val="28"/>
          <w:szCs w:val="28"/>
        </w:rPr>
        <w:t>администрация камышловского городского округа</w:t>
      </w:r>
    </w:p>
    <w:p>
      <w:pPr>
        <w:pStyle w:val="Normal"/>
        <w:widowControl/>
        <w:suppressAutoHyphens w:val="true"/>
        <w:bidi w:val="0"/>
        <w:spacing w:lineRule="auto" w:line="235" w:before="19" w:after="19"/>
        <w:ind w:left="0" w:right="0" w:firstLine="57"/>
        <w:jc w:val="both"/>
        <w:rPr>
          <w:rFonts w:ascii="Liberation Serif" w:hAnsi="Liberation Serif"/>
          <w:bCs w:val="false"/>
          <w:sz w:val="28"/>
          <w:szCs w:val="28"/>
        </w:rPr>
      </w:pPr>
      <w:r>
        <w:rPr>
          <w:rFonts w:ascii="Liberation Serif" w:hAnsi="Liberation Serif"/>
          <w:bCs w:val="false"/>
          <w:sz w:val="28"/>
          <w:szCs w:val="28"/>
        </w:rPr>
        <w:t xml:space="preserve"> </w:t>
      </w:r>
      <w:r>
        <w:rPr>
          <w:rFonts w:ascii="Liberation Serif" w:hAnsi="Liberation Serif"/>
          <w:b/>
          <w:bCs w:val="false"/>
          <w:sz w:val="28"/>
          <w:szCs w:val="28"/>
        </w:rPr>
        <w:t>ПОСТАНОВЛЯЕТ:</w:t>
      </w:r>
    </w:p>
    <w:p>
      <w:pPr>
        <w:pStyle w:val="Normal"/>
        <w:widowControl w:val="false"/>
        <w:spacing w:lineRule="auto" w:line="235" w:before="19" w:after="19"/>
        <w:ind w:firstLine="708"/>
        <w:jc w:val="both"/>
        <w:rPr>
          <w:rFonts w:ascii="Liberation Serif" w:hAnsi="Liberation Serif"/>
          <w:bCs w:val="false"/>
          <w:sz w:val="28"/>
          <w:szCs w:val="28"/>
        </w:rPr>
      </w:pPr>
      <w:r>
        <w:rPr>
          <w:rFonts w:ascii="Liberation Serif" w:hAnsi="Liberation Serif"/>
          <w:bCs w:val="false"/>
          <w:sz w:val="28"/>
          <w:szCs w:val="28"/>
        </w:rPr>
        <w:t>1.</w:t>
      </w:r>
      <w:r>
        <w:rPr>
          <w:rFonts w:cs="Arial" w:ascii="Liberation Serif" w:hAnsi="Liberation Serif"/>
          <w:bCs w:val="false"/>
          <w:sz w:val="28"/>
          <w:szCs w:val="28"/>
          <w:lang w:val="en-US"/>
        </w:rPr>
        <w:t> </w:t>
      </w:r>
      <w:r>
        <w:rPr>
          <w:rFonts w:ascii="Liberation Serif" w:hAnsi="Liberation Serif"/>
          <w:bCs w:val="false"/>
          <w:sz w:val="28"/>
          <w:szCs w:val="28"/>
        </w:rPr>
        <w:t>Утвердить основные направления долговой политики Камышловского городского округа на 2022 год и плановый период 2023 и 2024 годов (прилагается).</w:t>
      </w:r>
    </w:p>
    <w:p>
      <w:pPr>
        <w:pStyle w:val="ConsPlusNormal1"/>
        <w:ind w:firstLine="709"/>
        <w:rPr>
          <w:rFonts w:ascii="Liberation Serif" w:hAnsi="Liberation Serif"/>
        </w:rPr>
      </w:pPr>
      <w:r>
        <w:rPr>
          <w:rFonts w:ascii="Liberation Serif" w:hAnsi="Liberation Serif"/>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Normal"/>
        <w:widowControl/>
        <w:suppressAutoHyphens w:val="true"/>
        <w:bidi w:val="0"/>
        <w:spacing w:lineRule="auto" w:line="240" w:before="0" w:after="0"/>
        <w:ind w:left="0" w:right="0" w:firstLine="737"/>
        <w:jc w:val="both"/>
        <w:rPr/>
      </w:pPr>
      <w:r>
        <w:rPr>
          <w:rFonts w:ascii="Liberation Serif" w:hAnsi="Liberation Serif"/>
          <w:bCs w:val="false"/>
          <w:sz w:val="28"/>
          <w:szCs w:val="28"/>
        </w:rPr>
        <w:t>3.</w:t>
      </w:r>
      <w:r>
        <w:rPr>
          <w:rFonts w:cs="Arial" w:ascii="Liberation Serif" w:hAnsi="Liberation Serif"/>
          <w:bCs w:val="false"/>
          <w:sz w:val="28"/>
          <w:szCs w:val="28"/>
          <w:lang w:val="en-US"/>
        </w:rPr>
        <w:t>  </w:t>
      </w:r>
      <w:r>
        <w:rPr>
          <w:rFonts w:ascii="Liberation Serif" w:hAnsi="Liberation Serif"/>
          <w:sz w:val="28"/>
          <w:szCs w:val="28"/>
        </w:rPr>
        <w:t xml:space="preserve">Контроль за исполнением настоящего постановления оставляю за собой. </w:t>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Глава</w:t>
      </w:r>
    </w:p>
    <w:p>
      <w:pPr>
        <w:sectPr>
          <w:type w:val="nextPage"/>
          <w:pgSz w:w="11906" w:h="16838"/>
          <w:pgMar w:left="1418" w:right="566" w:header="0" w:top="1134" w:footer="0" w:bottom="1134" w:gutter="0"/>
          <w:pgNumType w:fmt="decimal"/>
          <w:formProt w:val="false"/>
          <w:textDirection w:val="lrTb"/>
          <w:docGrid w:type="default" w:linePitch="381" w:charSpace="0"/>
        </w:sect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Камышловского городского округа                                                   А.В. Половников</w:t>
      </w:r>
    </w:p>
    <w:p>
      <w:pPr>
        <w:pStyle w:val="Normal"/>
        <w:tabs>
          <w:tab w:val="clear" w:pos="708"/>
          <w:tab w:val="left" w:pos="11766" w:leader="none"/>
        </w:tabs>
        <w:overflowPunct w:val="true"/>
        <w:ind w:left="5387" w:hanging="142"/>
        <w:textAlignment w:val="baseline"/>
        <w:rPr>
          <w:b/>
          <w:b/>
          <w:bCs/>
        </w:rPr>
      </w:pPr>
      <w:r>
        <w:rPr>
          <w:rFonts w:ascii="Liberation Serif" w:hAnsi="Liberation Serif"/>
          <w:b/>
          <w:bCs/>
          <w:sz w:val="28"/>
          <w:szCs w:val="28"/>
        </w:rPr>
        <w:t>УТВЕРЖДЕНО</w:t>
      </w:r>
    </w:p>
    <w:p>
      <w:pPr>
        <w:pStyle w:val="Normal"/>
        <w:tabs>
          <w:tab w:val="clear" w:pos="708"/>
          <w:tab w:val="left" w:pos="11766" w:leader="none"/>
        </w:tabs>
        <w:overflowPunct w:val="true"/>
        <w:ind w:left="5387" w:hanging="142"/>
        <w:textAlignment w:val="baseline"/>
        <w:rPr>
          <w:rFonts w:ascii="Liberation Serif" w:hAnsi="Liberation Serif"/>
          <w:bCs w:val="false"/>
          <w:sz w:val="28"/>
          <w:szCs w:val="28"/>
        </w:rPr>
      </w:pPr>
      <w:r>
        <w:rPr>
          <w:rFonts w:ascii="Liberation Serif" w:hAnsi="Liberation Serif"/>
          <w:bCs w:val="false"/>
          <w:sz w:val="28"/>
          <w:szCs w:val="28"/>
        </w:rPr>
        <w:t>постановлением администрации</w:t>
      </w:r>
    </w:p>
    <w:p>
      <w:pPr>
        <w:pStyle w:val="Normal"/>
        <w:tabs>
          <w:tab w:val="clear" w:pos="708"/>
          <w:tab w:val="left" w:pos="11766" w:leader="none"/>
        </w:tabs>
        <w:overflowPunct w:val="true"/>
        <w:ind w:left="5245" w:hanging="0"/>
        <w:textAlignment w:val="baseline"/>
        <w:rPr>
          <w:rFonts w:ascii="Liberation Serif" w:hAnsi="Liberation Serif"/>
          <w:bCs w:val="false"/>
          <w:sz w:val="28"/>
          <w:szCs w:val="28"/>
        </w:rPr>
      </w:pPr>
      <w:r>
        <w:rPr>
          <w:rFonts w:ascii="Liberation Serif" w:hAnsi="Liberation Serif"/>
          <w:bCs w:val="false"/>
          <w:sz w:val="28"/>
          <w:szCs w:val="28"/>
        </w:rPr>
        <w:t>Камышловского городского округа</w:t>
      </w:r>
    </w:p>
    <w:p>
      <w:pPr>
        <w:pStyle w:val="Normal"/>
        <w:tabs>
          <w:tab w:val="clear" w:pos="708"/>
          <w:tab w:val="left" w:pos="11766" w:leader="none"/>
        </w:tabs>
        <w:overflowPunct w:val="true"/>
        <w:ind w:left="5245" w:hanging="0"/>
        <w:textAlignment w:val="baseline"/>
        <w:rPr>
          <w:rFonts w:ascii="Liberation Serif" w:hAnsi="Liberation Serif"/>
          <w:bCs w:val="false"/>
          <w:sz w:val="28"/>
          <w:szCs w:val="28"/>
        </w:rPr>
      </w:pPr>
      <w:r>
        <w:rPr>
          <w:rFonts w:ascii="Liberation Serif" w:hAnsi="Liberation Serif"/>
          <w:bCs w:val="false"/>
          <w:sz w:val="28"/>
          <w:szCs w:val="28"/>
        </w:rPr>
        <w:t xml:space="preserve">от </w:t>
      </w:r>
      <w:r>
        <w:rPr>
          <w:rFonts w:eastAsia="Times New Roman" w:cs="Times New Roman" w:ascii="Liberation Serif" w:hAnsi="Liberation Serif"/>
          <w:bCs w:val="false"/>
          <w:color w:val="auto"/>
          <w:kern w:val="0"/>
          <w:sz w:val="28"/>
          <w:szCs w:val="28"/>
          <w:lang w:val="ru-RU" w:eastAsia="ru-RU" w:bidi="ar-SA"/>
        </w:rPr>
        <w:t>23.11.2021</w:t>
      </w:r>
      <w:r>
        <w:rPr>
          <w:rFonts w:ascii="Liberation Serif" w:hAnsi="Liberation Serif"/>
          <w:bCs w:val="false"/>
          <w:sz w:val="28"/>
          <w:szCs w:val="28"/>
        </w:rPr>
        <w:t xml:space="preserve"> № </w:t>
      </w:r>
      <w:r>
        <w:rPr>
          <w:rFonts w:eastAsia="Times New Roman" w:cs="Times New Roman" w:ascii="Liberation Serif" w:hAnsi="Liberation Serif"/>
          <w:bCs w:val="false"/>
          <w:color w:val="auto"/>
          <w:kern w:val="0"/>
          <w:sz w:val="28"/>
          <w:szCs w:val="28"/>
          <w:lang w:val="ru-RU" w:eastAsia="ru-RU" w:bidi="ar-SA"/>
        </w:rPr>
        <w:t>860</w:t>
      </w:r>
    </w:p>
    <w:p>
      <w:pPr>
        <w:pStyle w:val="Normal"/>
        <w:tabs>
          <w:tab w:val="clear" w:pos="708"/>
          <w:tab w:val="left" w:pos="11766" w:leader="none"/>
        </w:tabs>
        <w:overflowPunct w:val="true"/>
        <w:ind w:firstLine="709"/>
        <w:jc w:val="both"/>
        <w:textAlignment w:val="baseline"/>
        <w:rPr>
          <w:rFonts w:ascii="Liberation Serif" w:hAnsi="Liberation Serif"/>
          <w:bCs w:val="false"/>
          <w:sz w:val="28"/>
          <w:szCs w:val="28"/>
        </w:rPr>
      </w:pPr>
      <w:r>
        <w:rPr>
          <w:rFonts w:ascii="Liberation Serif" w:hAnsi="Liberation Serif"/>
          <w:bCs w:val="false"/>
          <w:sz w:val="28"/>
          <w:szCs w:val="28"/>
        </w:rPr>
      </w:r>
    </w:p>
    <w:p>
      <w:pPr>
        <w:pStyle w:val="Normal"/>
        <w:ind w:left="-851" w:right="-1" w:firstLine="851"/>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Основные направления долговой политики</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 xml:space="preserve">Камышловского городского округа </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на 2022 год и плановый период 2023 и 2024 годов</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Глава 1. Общие положения</w:t>
      </w:r>
    </w:p>
    <w:p>
      <w:pPr>
        <w:pStyle w:val="Normal"/>
        <w:ind w:right="-1" w:hanging="0"/>
        <w:jc w:val="center"/>
        <w:rPr>
          <w:rFonts w:ascii="Liberation Serif" w:hAnsi="Liberation Serif"/>
          <w:bCs w:val="false"/>
          <w:sz w:val="28"/>
          <w:szCs w:val="28"/>
        </w:rPr>
      </w:pPr>
      <w:r>
        <w:rPr>
          <w:rFonts w:ascii="Liberation Serif" w:hAnsi="Liberation Serif"/>
          <w:bCs w:val="false"/>
          <w:sz w:val="28"/>
          <w:szCs w:val="28"/>
        </w:rPr>
      </w:r>
    </w:p>
    <w:p>
      <w:pPr>
        <w:pStyle w:val="Normal"/>
        <w:ind w:firstLine="708"/>
        <w:jc w:val="both"/>
        <w:rPr>
          <w:rFonts w:ascii="Liberation Serif" w:hAnsi="Liberation Serif"/>
          <w:bCs w:val="false"/>
        </w:rPr>
      </w:pPr>
      <w:r>
        <w:rPr>
          <w:rFonts w:ascii="Liberation Serif" w:hAnsi="Liberation Serif"/>
          <w:bCs w:val="false"/>
          <w:iCs/>
          <w:sz w:val="28"/>
          <w:szCs w:val="28"/>
        </w:rPr>
        <w:t>Основные направления долговой политики Камышловского городского округа (далее – долговая политика) являются частью бюджетной политики, непосредственно связаны с бюджетным процессом в Камышловском городском округе и способствует решению задач, стоящих перед Камышловским городским округом. Долговая политика определяет основные задачи и приоритеты деятельности администрации Камышловского городского округа в сфере управления муниципальным долгом.</w:t>
      </w:r>
    </w:p>
    <w:p>
      <w:pPr>
        <w:pStyle w:val="Normal"/>
        <w:ind w:firstLine="708"/>
        <w:jc w:val="both"/>
        <w:rPr>
          <w:rFonts w:ascii="Liberation Serif" w:hAnsi="Liberation Serif"/>
          <w:bCs w:val="false"/>
          <w:iCs/>
          <w:sz w:val="28"/>
          <w:szCs w:val="28"/>
        </w:rPr>
      </w:pPr>
      <w:r>
        <w:rPr>
          <w:rFonts w:ascii="Liberation Serif" w:hAnsi="Liberation Serif"/>
          <w:bCs w:val="false"/>
          <w:iCs/>
          <w:sz w:val="28"/>
          <w:szCs w:val="28"/>
        </w:rPr>
        <w:t>Долговая политика заключается в реализации комплекса мер, направленных на обеспечение потребностей публично-правового образования в заемном финансировании (далее – заимствования), своевременное и полное исполнение обязательств по погашению и обслуживанию муниципального долга Камышловского городского округа (далее – муниципальный долг), минимизацию расходов на обслуживание муниципального долга, поддержание объема и структуры долговых обязательств, исключающих их неисполнение.</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jc w:val="center"/>
        <w:rPr>
          <w:rFonts w:ascii="Liberation Serif" w:hAnsi="Liberation Serif"/>
          <w:b/>
          <w:b/>
          <w:bCs w:val="false"/>
          <w:sz w:val="28"/>
        </w:rPr>
      </w:pPr>
      <w:r>
        <w:rPr>
          <w:rFonts w:ascii="Liberation Serif" w:hAnsi="Liberation Serif"/>
          <w:b/>
          <w:bCs w:val="false"/>
          <w:sz w:val="28"/>
        </w:rPr>
        <w:t xml:space="preserve">Глава 2. Итоги реализации долговой политики </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заемных средств в бюджет Камышловского городского округа осуществляется для погашения долговых обязательств Камышловского городского округа (далее – долговые обязательства) и покрытия дефицита бюджета Камышловского городского округа в целях обеспечения его сбалансированности.</w:t>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заимствований обеспечивает возможность направления доходов бюджета Камышловского городского округа на финансирование расходов бюджета в социальной сфере, в том числе на повышение заработной платы отдельным категориям работников бюджетной сферы, развитие социальной инфраструктуры Камышловского городского округа и проведение мероприятий, направленных на социально-экономическое развитие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Основным источником покрытия дефицита бюджета Камышловского городского округа стало привлечение кредитов из областного бюджета.</w:t>
      </w:r>
    </w:p>
    <w:p>
      <w:pPr>
        <w:pStyle w:val="Normal"/>
        <w:tabs>
          <w:tab w:val="clear" w:pos="708"/>
          <w:tab w:val="left" w:pos="709" w:leader="none"/>
          <w:tab w:val="left" w:pos="2694" w:leader="none"/>
        </w:tabs>
        <w:ind w:firstLine="709"/>
        <w:jc w:val="both"/>
        <w:rPr>
          <w:rFonts w:ascii="Liberation Serif" w:hAnsi="Liberation Serif"/>
          <w:sz w:val="28"/>
          <w:szCs w:val="28"/>
          <w:highlight w:val="yellow"/>
        </w:rPr>
      </w:pPr>
      <w:r>
        <w:rPr>
          <w:rFonts w:ascii="Liberation Serif" w:hAnsi="Liberation Serif"/>
          <w:sz w:val="28"/>
          <w:szCs w:val="28"/>
        </w:rPr>
        <w:t>За 2017–2020 годы муниципальный долг Камышловского городского округа увеличился на 16,0 млн. рублей и на 1 января 2021 года составил 59,2 млн. рублей.</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Информация об основных показателях состояния муниципального долга Свердловской области за 2017–2020 годы приведена в таблицах 1 и 2.</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Объем и структура муниципального долга Камышловского городского округа</w:t>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Таблица 1</w:t>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(млн. рублей)</w:t>
      </w:r>
    </w:p>
    <w:tbl>
      <w:tblPr>
        <w:tblW w:w="5000" w:type="pct"/>
        <w:jc w:val="left"/>
        <w:tblInd w:w="0" w:type="dxa"/>
        <w:tblCellMar>
          <w:top w:w="0" w:type="dxa"/>
          <w:left w:w="108" w:type="dxa"/>
          <w:bottom w:w="0" w:type="dxa"/>
          <w:right w:w="108" w:type="dxa"/>
        </w:tblCellMar>
        <w:tblLook w:val="04a0"/>
      </w:tblPr>
      <w:tblGrid>
        <w:gridCol w:w="928"/>
        <w:gridCol w:w="3608"/>
        <w:gridCol w:w="1341"/>
        <w:gridCol w:w="1255"/>
        <w:gridCol w:w="1256"/>
        <w:gridCol w:w="1250"/>
      </w:tblGrid>
      <w:tr>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Номер строки</w:t>
            </w:r>
          </w:p>
        </w:tc>
        <w:tc>
          <w:tcPr>
            <w:tcW w:w="36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Вид долгового обязательства</w:t>
            </w:r>
          </w:p>
        </w:tc>
        <w:tc>
          <w:tcPr>
            <w:tcW w:w="13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2020 год</w:t>
            </w:r>
          </w:p>
        </w:tc>
      </w:tr>
      <w:tr>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36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13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12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w:t>
            </w:r>
          </w:p>
        </w:tc>
        <w:tc>
          <w:tcPr>
            <w:tcW w:w="12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6</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360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Бюджетные кредиты</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16,9</w:t>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20,7</w:t>
            </w:r>
          </w:p>
        </w:tc>
        <w:tc>
          <w:tcPr>
            <w:tcW w:w="12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9,8</w:t>
            </w:r>
          </w:p>
        </w:tc>
        <w:tc>
          <w:tcPr>
            <w:tcW w:w="12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17,2</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360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Муниципальные гарантии</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26,3</w:t>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14,4</w:t>
            </w:r>
          </w:p>
        </w:tc>
        <w:tc>
          <w:tcPr>
            <w:tcW w:w="12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21,0</w:t>
            </w:r>
          </w:p>
        </w:tc>
        <w:tc>
          <w:tcPr>
            <w:tcW w:w="12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42,0</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360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Всего</w:t>
            </w:r>
          </w:p>
        </w:tc>
        <w:tc>
          <w:tcPr>
            <w:tcW w:w="134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5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c>
          <w:tcPr>
            <w:tcW w:w="12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30,8</w:t>
            </w:r>
          </w:p>
        </w:tc>
        <w:tc>
          <w:tcPr>
            <w:tcW w:w="12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59,2</w:t>
            </w:r>
          </w:p>
        </w:tc>
      </w:tr>
    </w:tbl>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Динамика муниципального долга Камышловского городского округа</w:t>
      </w:r>
    </w:p>
    <w:p>
      <w:pPr>
        <w:pStyle w:val="Normal"/>
        <w:tabs>
          <w:tab w:val="clear" w:pos="708"/>
          <w:tab w:val="left" w:pos="709" w:leader="none"/>
          <w:tab w:val="left" w:pos="2694" w:leader="none"/>
        </w:tabs>
        <w:jc w:val="right"/>
        <w:rPr>
          <w:rFonts w:ascii="Liberation Serif" w:hAnsi="Liberation Serif"/>
          <w:sz w:val="28"/>
          <w:szCs w:val="28"/>
        </w:rPr>
      </w:pPr>
      <w:r>
        <w:rPr>
          <w:rFonts w:ascii="Liberation Serif" w:hAnsi="Liberation Serif"/>
        </w:rPr>
        <w:t>Таблица 2</w:t>
      </w:r>
    </w:p>
    <w:tbl>
      <w:tblPr>
        <w:tblW w:w="4950" w:type="pct"/>
        <w:jc w:val="left"/>
        <w:tblInd w:w="0" w:type="dxa"/>
        <w:tblCellMar>
          <w:top w:w="0" w:type="dxa"/>
          <w:left w:w="108" w:type="dxa"/>
          <w:bottom w:w="0" w:type="dxa"/>
          <w:right w:w="108" w:type="dxa"/>
        </w:tblCellMar>
        <w:tblLook w:val="04a0"/>
      </w:tblPr>
      <w:tblGrid>
        <w:gridCol w:w="908"/>
        <w:gridCol w:w="3888"/>
        <w:gridCol w:w="1207"/>
        <w:gridCol w:w="1203"/>
        <w:gridCol w:w="1167"/>
        <w:gridCol w:w="1168"/>
      </w:tblGrid>
      <w:tr>
        <w:trPr/>
        <w:tc>
          <w:tcPr>
            <w:tcW w:w="908" w:type="dxa"/>
            <w:tcBorders>
              <w:top w:val="single" w:sz="4" w:space="0" w:color="000000"/>
              <w:left w:val="single" w:sz="4" w:space="0" w:color="000000"/>
              <w:right w:val="single" w:sz="4" w:space="0" w:color="000000"/>
            </w:tcBorders>
            <w:shd w:color="auto" w:fill="auto" w:val="clear"/>
            <w:vAlign w:val="center"/>
          </w:tcPr>
          <w:p>
            <w:pPr>
              <w:pStyle w:val="Normal"/>
              <w:jc w:val="center"/>
              <w:rPr>
                <w:rFonts w:ascii="Liberation Serif" w:hAnsi="Liberation Serif"/>
              </w:rPr>
            </w:pPr>
            <w:r>
              <w:rPr>
                <w:rFonts w:ascii="Liberation Serif" w:hAnsi="Liberation Serif"/>
              </w:rPr>
              <w:t>Номер строки</w:t>
            </w:r>
          </w:p>
        </w:tc>
        <w:tc>
          <w:tcPr>
            <w:tcW w:w="3888"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Наименование показателя</w:t>
            </w:r>
          </w:p>
        </w:tc>
        <w:tc>
          <w:tcPr>
            <w:tcW w:w="1207"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03" w:type="dxa"/>
            <w:tcBorders>
              <w:top w:val="single" w:sz="4" w:space="0" w:color="000000"/>
              <w:left w:val="single" w:sz="4" w:space="0" w:color="000000"/>
              <w:right w:val="single" w:sz="4" w:space="0" w:color="000000"/>
            </w:tcBorders>
            <w:shd w:color="auto" w:fill="auto" w:val="clear"/>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c>
          <w:tcPr>
            <w:tcW w:w="1167" w:type="dxa"/>
            <w:tcBorders>
              <w:top w:val="single" w:sz="4" w:space="0" w:color="000000"/>
              <w:left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c>
          <w:tcPr>
            <w:tcW w:w="1168" w:type="dxa"/>
            <w:tcBorders>
              <w:top w:val="single" w:sz="4" w:space="0" w:color="000000"/>
              <w:left w:val="single" w:sz="4" w:space="0" w:color="000000"/>
              <w:right w:val="single" w:sz="4" w:space="0" w:color="000000"/>
            </w:tcBorders>
            <w:vAlign w:val="cente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2020 год</w:t>
            </w:r>
          </w:p>
        </w:tc>
      </w:tr>
    </w:tbl>
    <w:p>
      <w:pPr>
        <w:pStyle w:val="Normal"/>
        <w:rPr>
          <w:rFonts w:ascii="Liberation Serif" w:hAnsi="Liberation Serif"/>
          <w:vanish/>
        </w:rPr>
      </w:pPr>
      <w:r>
        <w:rPr>
          <w:rFonts w:ascii="Liberation Serif" w:hAnsi="Liberation Serif"/>
          <w:vanish/>
        </w:rPr>
      </w:r>
    </w:p>
    <w:tbl>
      <w:tblPr>
        <w:tblW w:w="4950" w:type="pct"/>
        <w:jc w:val="left"/>
        <w:tblInd w:w="0" w:type="dxa"/>
        <w:tblCellMar>
          <w:top w:w="0" w:type="dxa"/>
          <w:left w:w="108" w:type="dxa"/>
          <w:bottom w:w="0" w:type="dxa"/>
          <w:right w:w="108" w:type="dxa"/>
        </w:tblCellMar>
        <w:tblLook w:val="04a0"/>
      </w:tblPr>
      <w:tblGrid>
        <w:gridCol w:w="903"/>
        <w:gridCol w:w="3887"/>
        <w:gridCol w:w="1207"/>
        <w:gridCol w:w="1200"/>
        <w:gridCol w:w="1173"/>
        <w:gridCol w:w="1171"/>
      </w:tblGrid>
      <w:tr>
        <w:trPr>
          <w:tblHeader w:val="true"/>
        </w:trPr>
        <w:tc>
          <w:tcPr>
            <w:tcW w:w="903" w:type="dxa"/>
            <w:tcBorders>
              <w:top w:val="single" w:sz="4" w:space="0" w:color="000000"/>
              <w:left w:val="single" w:sz="4" w:space="0" w:color="000000"/>
              <w:bottom w:val="single" w:sz="4" w:space="0" w:color="000000"/>
              <w:right w:val="single" w:sz="4" w:space="0" w:color="000000"/>
            </w:tcBorders>
          </w:tcPr>
          <w:p>
            <w:pPr>
              <w:pStyle w:val="Normal"/>
              <w:spacing w:lineRule="auto" w:line="228"/>
              <w:jc w:val="center"/>
              <w:rPr>
                <w:rFonts w:ascii="Liberation Serif" w:hAnsi="Liberation Serif"/>
              </w:rPr>
            </w:pPr>
            <w:r>
              <w:rPr>
                <w:rFonts w:ascii="Liberation Serif" w:hAnsi="Liberation Serif"/>
              </w:rPr>
              <w:t>1</w:t>
            </w:r>
          </w:p>
        </w:tc>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2</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3</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28"/>
              <w:jc w:val="center"/>
              <w:rPr>
                <w:rFonts w:ascii="Liberation Serif" w:hAnsi="Liberation Serif"/>
              </w:rPr>
            </w:pPr>
            <w:r>
              <w:rPr>
                <w:rFonts w:ascii="Liberation Serif" w:hAnsi="Liberation Serif"/>
              </w:rPr>
              <w:t>4</w:t>
            </w:r>
          </w:p>
        </w:tc>
        <w:tc>
          <w:tcPr>
            <w:tcW w:w="1173" w:type="dxa"/>
            <w:tcBorders>
              <w:top w:val="single" w:sz="4" w:space="0" w:color="000000"/>
              <w:left w:val="single" w:sz="4" w:space="0" w:color="000000"/>
              <w:bottom w:val="single" w:sz="4" w:space="0" w:color="000000"/>
              <w:right w:val="single" w:sz="4" w:space="0" w:color="000000"/>
            </w:tcBorders>
          </w:tcPr>
          <w:p>
            <w:pPr>
              <w:pStyle w:val="Normal"/>
              <w:spacing w:lineRule="auto" w:line="228"/>
              <w:jc w:val="center"/>
              <w:rPr>
                <w:rFonts w:ascii="Liberation Serif" w:hAnsi="Liberation Serif"/>
              </w:rPr>
            </w:pPr>
            <w:r>
              <w:rPr>
                <w:rFonts w:ascii="Liberation Serif" w:hAnsi="Liberation Serif"/>
              </w:rPr>
              <w:t>5</w:t>
            </w:r>
          </w:p>
        </w:tc>
        <w:tc>
          <w:tcPr>
            <w:tcW w:w="1171" w:type="dxa"/>
            <w:tcBorders>
              <w:top w:val="single" w:sz="4" w:space="0" w:color="000000"/>
              <w:left w:val="single" w:sz="4" w:space="0" w:color="000000"/>
              <w:bottom w:val="single" w:sz="4" w:space="0" w:color="000000"/>
              <w:right w:val="single" w:sz="4" w:space="0" w:color="000000"/>
            </w:tcBorders>
          </w:tcPr>
          <w:p>
            <w:pPr>
              <w:pStyle w:val="Normal"/>
              <w:spacing w:lineRule="auto" w:line="228"/>
              <w:jc w:val="center"/>
              <w:rPr>
                <w:rFonts w:ascii="Liberation Serif" w:hAnsi="Liberation Serif"/>
              </w:rPr>
            </w:pPr>
            <w:r>
              <w:rPr>
                <w:rFonts w:ascii="Liberation Serif" w:hAnsi="Liberation Serif"/>
              </w:rPr>
              <w:t>6</w:t>
            </w:r>
          </w:p>
        </w:tc>
      </w:tr>
      <w:tr>
        <w:trPr/>
        <w:tc>
          <w:tcPr>
            <w:tcW w:w="90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rPr>
            </w:pPr>
            <w:r>
              <w:rPr>
                <w:rFonts w:ascii="Liberation Serif" w:hAnsi="Liberation Serif"/>
              </w:rPr>
              <w:t>1.</w:t>
            </w:r>
          </w:p>
        </w:tc>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Объем муниципального долга, млн. рублей</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c>
          <w:tcPr>
            <w:tcW w:w="11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30,8</w:t>
            </w:r>
          </w:p>
        </w:tc>
        <w:tc>
          <w:tcPr>
            <w:tcW w:w="11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59,2</w:t>
            </w:r>
          </w:p>
        </w:tc>
      </w:tr>
      <w:tr>
        <w:trPr/>
        <w:tc>
          <w:tcPr>
            <w:tcW w:w="90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rPr>
            </w:pPr>
            <w:r>
              <w:rPr>
                <w:rFonts w:ascii="Liberation Serif" w:hAnsi="Liberation Serif"/>
              </w:rPr>
              <w:t>2.</w:t>
            </w:r>
          </w:p>
        </w:tc>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Прирост муниципального долга, млн. рублей</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-10,9</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lang w:val="en-US"/>
              </w:rPr>
              <w:t>–</w:t>
            </w:r>
            <w:r>
              <w:rPr>
                <w:rFonts w:ascii="Liberation Serif" w:hAnsi="Liberation Serif"/>
              </w:rPr>
              <w:t>8,1</w:t>
            </w:r>
          </w:p>
        </w:tc>
        <w:tc>
          <w:tcPr>
            <w:tcW w:w="11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w:t>
            </w:r>
          </w:p>
        </w:tc>
        <w:tc>
          <w:tcPr>
            <w:tcW w:w="11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28,4</w:t>
            </w:r>
          </w:p>
        </w:tc>
      </w:tr>
      <w:tr>
        <w:trPr/>
        <w:tc>
          <w:tcPr>
            <w:tcW w:w="90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rPr>
            </w:pPr>
            <w:r>
              <w:rPr>
                <w:rFonts w:ascii="Liberation Serif" w:hAnsi="Liberation Serif"/>
              </w:rPr>
              <w:t>3.</w:t>
            </w:r>
          </w:p>
        </w:tc>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Темпы роста муниципального долга, процентов</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79,9</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81,3</w:t>
            </w:r>
          </w:p>
        </w:tc>
        <w:tc>
          <w:tcPr>
            <w:tcW w:w="11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87,7</w:t>
            </w:r>
          </w:p>
        </w:tc>
        <w:tc>
          <w:tcPr>
            <w:tcW w:w="11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192,2</w:t>
            </w:r>
          </w:p>
        </w:tc>
      </w:tr>
      <w:tr>
        <w:trPr/>
        <w:tc>
          <w:tcPr>
            <w:tcW w:w="90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rPr>
            </w:pPr>
            <w:r>
              <w:rPr>
                <w:rFonts w:ascii="Liberation Serif" w:hAnsi="Liberation Serif"/>
              </w:rPr>
              <w:t>4.</w:t>
            </w:r>
          </w:p>
        </w:tc>
        <w:tc>
          <w:tcPr>
            <w:tcW w:w="388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Долговая нагрузка (отношение объема муниципального долга к объему доходов бюджета Камышловского городского округа без учета безвозмездных поступлений), процентов</w:t>
            </w:r>
          </w:p>
        </w:tc>
        <w:tc>
          <w:tcPr>
            <w:tcW w:w="120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13,5</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10,0</w:t>
            </w:r>
          </w:p>
        </w:tc>
        <w:tc>
          <w:tcPr>
            <w:tcW w:w="11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8,4</w:t>
            </w:r>
          </w:p>
        </w:tc>
        <w:tc>
          <w:tcPr>
            <w:tcW w:w="11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18,9</w:t>
            </w:r>
          </w:p>
        </w:tc>
      </w:tr>
    </w:tbl>
    <w:p>
      <w:pPr>
        <w:pStyle w:val="Normal"/>
        <w:tabs>
          <w:tab w:val="clear" w:pos="708"/>
          <w:tab w:val="left" w:pos="709" w:leader="none"/>
          <w:tab w:val="left" w:pos="2694" w:leader="none"/>
        </w:tabs>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В целях снижения рисков возникновения кризисных ситуаций при исполнении бюджета Камышловского городского округа, сохранения финансовой устойчивости и сбалансированности бюджета Камышловского городского округа осуществляется мероприятия по управлению муниципальным долгом, в том числе:</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1) сдерживание роста муниципального долга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2) безусловное выполнение долговых обязательств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Долговая нагрузка сохранена на уровне ниже 20% от суммы доходов бюджета Камышловского городского округа без учета безвозмездных поступлений (2017 год – 13,5%, 2018 год – 10,0%, 2019 год – 8,4%, 2020 год – 18,9%).</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Доля расходов на обслуживание муниципального долга Камышловского городского округа в общей сумме расходов бюджета Камышловского городского округа составила в в 2017 году – 0,02%, в 2018 году – 0,01%, в 2019 году – 0,001%, в 2020 году – 0,001%.</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Благодаря принимаемым мерам удалось существенно снизить дефицит бюджета Камышловского городского округа. Так, при запланированном объеме дефицита в 2017 году в сумме 161,9 млн. рублей фактический дефицит бюджета Камышловского городского округа составил 134,7 млн. рублей, в 2018 году – 37,3 млн. рублей и 0,6 млн.рублей соответственно, при запланированном объеме дефицита в 2019 году в сумме 24,4 млн. рублей фактический профицит бюджета Камышловского городского округа составил 48,4 млн. рублей, при запланированном объеме дефицита в 2020 году в сумме 60,2 млн. рублей фактический дефицит бюджета Камышловского городского округа составил 8,4 млн. рублей.</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Глава 3. Основные факторы, определяющие характер</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и направления долговой политики </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Долговая политика в 2022</w:t>
      </w:r>
      <w:r>
        <w:rPr>
          <w:rFonts w:ascii="Liberation Serif" w:hAnsi="Liberation Serif"/>
          <w:bCs w:val="false"/>
          <w:sz w:val="28"/>
          <w:szCs w:val="28"/>
        </w:rPr>
        <w:t>–</w:t>
      </w:r>
      <w:r>
        <w:rPr>
          <w:rFonts w:cs="Liberation Serif" w:ascii="Liberation Serif" w:hAnsi="Liberation Serif"/>
          <w:bCs w:val="false"/>
          <w:sz w:val="28"/>
          <w:szCs w:val="28"/>
        </w:rPr>
        <w:t>2024 годах будет направлена на безусловное выполнение обязательств Камышловского городского округа, соблюдение норм и ограничений, установленных Бюджетным кодексом Российской Федерации, и нацелена на поддержание долговой нагрузки на бюджет Камышловского городского округа на уровне, относящем Камышловский городской округ к муниципальным образованиям Свердловской области с высокой долговой устойчивостью.</w:t>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 что создает риски для финансовой стабильности внутри страны. Поэтому долговая политика будет направлена на эффективное управление муниципальным долгом, предполагающее снижение уровня долговой нагрузки на бюджет Камышловского городского округа,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Глава 4. Цели и задачи долговой политики </w:t>
      </w:r>
    </w:p>
    <w:p>
      <w:pPr>
        <w:pStyle w:val="Normal"/>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s>
        <w:ind w:firstLine="709"/>
        <w:jc w:val="both"/>
        <w:rPr>
          <w:rFonts w:ascii="Liberation Serif" w:hAnsi="Liberation Serif"/>
          <w:bCs w:val="false"/>
          <w:iCs/>
          <w:sz w:val="28"/>
          <w:szCs w:val="28"/>
        </w:rPr>
      </w:pPr>
      <w:r>
        <w:rPr>
          <w:rFonts w:ascii="Liberation Serif" w:hAnsi="Liberation Serif"/>
          <w:bCs w:val="false"/>
          <w:iCs/>
          <w:sz w:val="28"/>
          <w:szCs w:val="28"/>
        </w:rPr>
        <w:t>В предстоящем периоде целью долговой политики является сохранение финансовой устойчивости и сбалансированности бюджета Камышловского городского округа, осуществление заимствований в объемах, необходимых для решения поставленных социально-экономических задач.</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Основными источниками заемных средств, привлекаемых в целях финансирования дефицита бюджета Камышловского городского округа, а также в случае возникновения временного кассового разрыва при исполнении бюджета в течение финансового года, по-прежнему рассматриваются исключительно привлечение заемных средств из областного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Целями долговой политики на среднесрочный период являются:</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 xml:space="preserve">сохранение объема муниципального долга Камышловского городского округа на безопасном уровне и </w:t>
      </w:r>
      <w:r>
        <w:rPr>
          <w:rFonts w:eastAsia="Calibri" w:ascii="Liberation Serif" w:hAnsi="Liberation Serif"/>
          <w:bCs w:val="false"/>
          <w:sz w:val="28"/>
          <w:szCs w:val="28"/>
          <w:lang w:eastAsia="en-US"/>
        </w:rPr>
        <w:t>обеспечение доли общего объема долговых обязательств не более 50% доходов бюджета Камышловского городского округа без учета безвозмездных поступлений;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sz w:val="28"/>
          <w:szCs w:val="28"/>
        </w:rPr>
        <w:t>равномерное распределение долговой нагрузки по годам;</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безусловное выполнение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 xml:space="preserve">соблюдение ограничений, установленных Бюджетным </w:t>
      </w:r>
      <w:hyperlink r:id="rId3">
        <w:r>
          <w:rPr>
            <w:rFonts w:ascii="Liberation Serif" w:hAnsi="Liberation Serif"/>
            <w:bCs w:val="false"/>
            <w:sz w:val="28"/>
            <w:szCs w:val="28"/>
          </w:rPr>
          <w:t>кодексом</w:t>
        </w:r>
      </w:hyperlink>
      <w:r>
        <w:rPr>
          <w:rFonts w:ascii="Liberation Serif" w:hAnsi="Liberation Serif"/>
          <w:bCs w:val="false"/>
          <w:sz w:val="28"/>
          <w:szCs w:val="28"/>
        </w:rPr>
        <w:t xml:space="preserve">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Для достижения поставленных целей необходимо решить следующие задачи: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поддержание умеренной долговой нагрузки на бюджет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равномерное распределение платежей по долговым обязательствам по годам;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формирование и поддержание положительного кредитного рейтинга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доступности информации о муниципальном долге Камышловского городского округа.</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5. Инструменты 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tab/>
        <w:t>Основными инструментами реализации долговой политики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направление налоговых и неналоговых доходов, полученных в ходе исполнения бюджета Камышловского городского округа сверх утвержденного Решением Думы Камышловского городского округа о бюджете Камышловского городского округа на очередной финансовый год и плановый период объема указанных доходов, на досрочное погашение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принятие решений о привлечении заимствованных средств исходя из фактического исполнения бюджета Камышловского городского округа, потребности в привлечении заемных средств и ситуации на финансовом рынке;</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использование механизма привлечения бюджетных кредитов за счет средств областного бюджета на пополнение остатков средств на счете бюджета и покрытия дефицита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своевременного и полного учета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6. Анализ рисков для бюджета, возникающих в процессе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управления муниципальным долгом Камышловского городского округа</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ухудшения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и рост стоимости заимствований;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изменения налогового законодательства Российской Федерации, в том числе пересмотр распределения доходных источников между бюджетами бюджетной системы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недостаточного поступления доходов в бюджет Камышловского городского округа вследствие снижения налоговой базы по основным доходным источникам бюджета Камышловского городского округа и отсутствие в бюджете средств для полного и своевременного исполнения обязательств.</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Глава 7. Дополнительные меры, способствующие эффективной</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Эффективной реализации долговой политики в 2022 году и плановом периоде 2023 и 2024 годов будут способствовать реализация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Камышловского городского округа.</w:t>
      </w:r>
    </w:p>
    <w:p>
      <w:pPr>
        <w:pStyle w:val="Normal"/>
        <w:jc w:val="center"/>
        <w:rPr>
          <w:rFonts w:ascii="Liberation Serif" w:hAnsi="Liberation Serif"/>
          <w:bCs w:val="false"/>
          <w:sz w:val="2"/>
        </w:rPr>
      </w:pPr>
      <w:r>
        <w:rPr/>
      </w:r>
    </w:p>
    <w:sectPr>
      <w:headerReference w:type="default" r:id="rId4"/>
      <w:type w:val="nextPage"/>
      <w:pgSz w:w="11906" w:h="16838"/>
      <w:pgMar w:left="1701" w:right="566" w:header="1134" w:top="1559"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1836230"/>
    </w:sdtPr>
    <w:sdtContent>
      <w:p>
        <w:pPr>
          <w:pStyle w:val="Style26"/>
          <w:jc w:val="center"/>
          <w:rPr>
            <w:rFonts w:ascii="Liberation Serif" w:hAnsi="Liberation Serif"/>
          </w:rPr>
        </w:pPr>
        <w:r>
          <w:rPr>
            <w:rFonts w:ascii="Liberation Serif" w:hAnsi="Liberation Serif"/>
          </w:rPr>
          <w:fldChar w:fldCharType="begin"/>
        </w:r>
        <w:r>
          <w:rPr>
            <w:rFonts w:ascii="Liberation Serif" w:hAnsi="Liberation Serif"/>
          </w:rPr>
          <w:instrText> PAGE </w:instrText>
        </w:r>
        <w:r>
          <w:rPr>
            <w:rFonts w:ascii="Liberation Serif" w:hAnsi="Liberation Serif"/>
          </w:rPr>
          <w:fldChar w:fldCharType="separate"/>
        </w:r>
        <w:r>
          <w:rPr>
            <w:rFonts w:ascii="Liberation Serif" w:hAnsi="Liberation Serif"/>
          </w:rPr>
          <w:t>6</w:t>
        </w:r>
        <w:r>
          <w:rPr>
            <w:rFonts w:ascii="Liberation Serif" w:hAnsi="Liberation Serif"/>
          </w:rPr>
          <w:fldChar w:fldCharType="end"/>
        </w:r>
      </w:p>
    </w:sdtContent>
  </w:sdt>
  <w:p>
    <w:pPr>
      <w:pStyle w:val="Style26"/>
      <w:rPr/>
    </w:pPr>
    <w:r>
      <w:rPr/>
    </w:r>
  </w:p>
</w:hdr>
</file>

<file path=word/settings.xml><?xml version="1.0" encoding="utf-8"?>
<w:settings xmlns:w="http://schemas.openxmlformats.org/wordprocessingml/2006/main">
  <w:zoom w:percent="14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e3c"/>
    <w:pPr>
      <w:widowControl/>
      <w:suppressAutoHyphens w:val="true"/>
      <w:bidi w:val="0"/>
      <w:spacing w:lineRule="auto" w:line="240" w:before="0" w:after="0"/>
      <w:jc w:val="left"/>
    </w:pPr>
    <w:rPr>
      <w:rFonts w:ascii="Times New Roman" w:hAnsi="Times New Roman" w:eastAsia="Times New Roman" w:cs="Times New Roman"/>
      <w:bCs/>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90aaa"/>
    <w:rPr>
      <w:rFonts w:ascii="Times New Roman" w:hAnsi="Times New Roman" w:eastAsia="Times New Roman" w:cs="Times New Roman"/>
      <w:sz w:val="28"/>
      <w:szCs w:val="20"/>
      <w:lang w:eastAsia="ru-RU"/>
    </w:rPr>
  </w:style>
  <w:style w:type="character" w:styleId="Pagenumber">
    <w:name w:val="page number"/>
    <w:basedOn w:val="DefaultParagraphFont"/>
    <w:qFormat/>
    <w:rsid w:val="00a90aaa"/>
    <w:rPr/>
  </w:style>
  <w:style w:type="character" w:styleId="2" w:customStyle="1">
    <w:name w:val="Основной текст с отступом 2 Знак"/>
    <w:basedOn w:val="DefaultParagraphFont"/>
    <w:link w:val="2"/>
    <w:qFormat/>
    <w:rsid w:val="00a90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9317f6"/>
    <w:rPr>
      <w:rFonts w:ascii="Tahoma" w:hAnsi="Tahoma" w:eastAsia="Times New Roman" w:cs="Tahoma"/>
      <w:bCs/>
      <w:sz w:val="16"/>
      <w:szCs w:val="16"/>
      <w:lang w:eastAsia="ru-RU"/>
    </w:rPr>
  </w:style>
  <w:style w:type="character" w:styleId="Style16" w:customStyle="1">
    <w:name w:val="Основной текст Знак"/>
    <w:basedOn w:val="DefaultParagraphFont"/>
    <w:link w:val="a9"/>
    <w:uiPriority w:val="99"/>
    <w:semiHidden/>
    <w:qFormat/>
    <w:rsid w:val="00dd2bd4"/>
    <w:rPr>
      <w:rFonts w:ascii="Times New Roman" w:hAnsi="Times New Roman" w:eastAsia="Times New Roman" w:cs="Times New Roman"/>
      <w:bCs/>
      <w:sz w:val="24"/>
      <w:szCs w:val="24"/>
      <w:lang w:eastAsia="ru-RU"/>
    </w:rPr>
  </w:style>
  <w:style w:type="character" w:styleId="Style17">
    <w:name w:val="Интернет-ссылка"/>
    <w:basedOn w:val="DefaultParagraphFont"/>
    <w:uiPriority w:val="99"/>
    <w:unhideWhenUsed/>
    <w:rsid w:val="0009271f"/>
    <w:rPr>
      <w:color w:val="0000FF" w:themeColor="hyperlink"/>
      <w:u w:val="single"/>
    </w:rPr>
  </w:style>
  <w:style w:type="character" w:styleId="Style18" w:customStyle="1">
    <w:name w:val="Нижний колонтитул Знак"/>
    <w:basedOn w:val="DefaultParagraphFont"/>
    <w:link w:val="ad"/>
    <w:uiPriority w:val="99"/>
    <w:qFormat/>
    <w:rsid w:val="00925200"/>
    <w:rPr>
      <w:rFonts w:ascii="Times New Roman" w:hAnsi="Times New Roman" w:eastAsia="Times New Roman" w:cs="Times New Roman"/>
      <w:bCs/>
      <w:sz w:val="24"/>
      <w:szCs w:val="24"/>
      <w:lang w:eastAsia="ru-RU"/>
    </w:rPr>
  </w:style>
  <w:style w:type="character" w:styleId="ConsPlusNormal" w:customStyle="1">
    <w:name w:val="ConsPlusNormal Знак"/>
    <w:link w:val="ConsPlusNormal"/>
    <w:qFormat/>
    <w:locked/>
    <w:rsid w:val="00685543"/>
    <w:rPr>
      <w:rFonts w:ascii="Times New Roman" w:hAnsi="Times New Roman" w:eastAsia="Times New Roman" w:cs="Times New Roman"/>
      <w:sz w:val="28"/>
      <w:szCs w:val="28"/>
      <w:lang w:eastAsia="ru-RU"/>
    </w:rPr>
  </w:style>
  <w:style w:type="character" w:styleId="Style19">
    <w:name w:val="Основной шрифт абзаца"/>
    <w:qFormat/>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link w:val="aa"/>
    <w:uiPriority w:val="99"/>
    <w:semiHidden/>
    <w:unhideWhenUsed/>
    <w:rsid w:val="00dd2bd4"/>
    <w:pPr>
      <w:spacing w:before="0" w:after="12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Style25">
    <w:name w:val="Верхний и нижний колонтитулы"/>
    <w:basedOn w:val="Normal"/>
    <w:qFormat/>
    <w:pPr/>
    <w:rPr/>
  </w:style>
  <w:style w:type="paragraph" w:styleId="Style26">
    <w:name w:val="Header"/>
    <w:basedOn w:val="Normal"/>
    <w:link w:val="a4"/>
    <w:uiPriority w:val="99"/>
    <w:rsid w:val="00a90aaa"/>
    <w:pPr>
      <w:tabs>
        <w:tab w:val="clear" w:pos="708"/>
        <w:tab w:val="center" w:pos="4677" w:leader="none"/>
        <w:tab w:val="right" w:pos="9355" w:leader="none"/>
      </w:tabs>
    </w:pPr>
    <w:rPr>
      <w:bCs w:val="false"/>
      <w:sz w:val="28"/>
      <w:szCs w:val="20"/>
    </w:rPr>
  </w:style>
  <w:style w:type="paragraph" w:styleId="BodyTextIndent2">
    <w:name w:val="Body Text Indent 2"/>
    <w:basedOn w:val="Normal"/>
    <w:link w:val="20"/>
    <w:qFormat/>
    <w:rsid w:val="00a90aaa"/>
    <w:pPr>
      <w:ind w:firstLine="567"/>
      <w:jc w:val="both"/>
    </w:pPr>
    <w:rPr>
      <w:bCs w:val="false"/>
      <w:sz w:val="28"/>
      <w:szCs w:val="20"/>
    </w:rPr>
  </w:style>
  <w:style w:type="paragraph" w:styleId="BalloonText">
    <w:name w:val="Balloon Text"/>
    <w:basedOn w:val="Normal"/>
    <w:link w:val="a7"/>
    <w:uiPriority w:val="99"/>
    <w:semiHidden/>
    <w:unhideWhenUsed/>
    <w:qFormat/>
    <w:rsid w:val="009317f6"/>
    <w:pPr/>
    <w:rPr>
      <w:rFonts w:ascii="Tahoma" w:hAnsi="Tahoma" w:cs="Tahoma"/>
      <w:sz w:val="16"/>
      <w:szCs w:val="16"/>
    </w:rPr>
  </w:style>
  <w:style w:type="paragraph" w:styleId="ListParagraph">
    <w:name w:val="List Paragraph"/>
    <w:basedOn w:val="Normal"/>
    <w:uiPriority w:val="34"/>
    <w:qFormat/>
    <w:rsid w:val="001b20c3"/>
    <w:pPr>
      <w:spacing w:before="0" w:after="0"/>
      <w:ind w:left="720" w:hanging="0"/>
      <w:contextualSpacing/>
    </w:pPr>
    <w:rPr/>
  </w:style>
  <w:style w:type="paragraph" w:styleId="Style27">
    <w:name w:val="Footer"/>
    <w:basedOn w:val="Normal"/>
    <w:link w:val="ae"/>
    <w:uiPriority w:val="99"/>
    <w:unhideWhenUsed/>
    <w:rsid w:val="00925200"/>
    <w:pPr>
      <w:tabs>
        <w:tab w:val="clear" w:pos="708"/>
        <w:tab w:val="center" w:pos="4677" w:leader="none"/>
        <w:tab w:val="right" w:pos="9355" w:leader="none"/>
      </w:tabs>
    </w:pPr>
    <w:rPr/>
  </w:style>
  <w:style w:type="paragraph" w:styleId="ConsPlusNormal1" w:customStyle="1">
    <w:name w:val="ConsPlusNormal"/>
    <w:link w:val="ConsPlusNormal0"/>
    <w:qFormat/>
    <w:rsid w:val="00685543"/>
    <w:pPr>
      <w:widowControl/>
      <w:suppressAutoHyphens w:val="true"/>
      <w:bidi w:val="0"/>
      <w:spacing w:lineRule="auto" w:line="240" w:before="0" w:after="0"/>
      <w:jc w:val="both"/>
    </w:pPr>
    <w:rPr>
      <w:rFonts w:ascii="Times New Roman" w:hAnsi="Times New Roman" w:eastAsia="Times New Roman" w:cs="Times New Roman"/>
      <w:color w:val="auto"/>
      <w:kern w:val="0"/>
      <w:sz w:val="28"/>
      <w:szCs w:val="28"/>
      <w:lang w:val="ru-RU" w:eastAsia="ru-RU" w:bidi="ar-SA"/>
    </w:rPr>
  </w:style>
  <w:style w:type="paragraph" w:styleId="Style28">
    <w:name w:val="Обычный"/>
    <w:qFormat/>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9f602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4D8435A533D1F56129FFC560B3CE582D00534BF4CA53A4CB93182180BEM761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C314-0944-410B-BEF5-027C3B3F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Application>LibreOffice/6.4.7.2$Linux_X86_64 LibreOffice_project/40$Build-2</Application>
  <Pages>6</Pages>
  <Words>1262</Words>
  <Characters>9120</Characters>
  <CharactersWithSpaces>10324</CharactersWithSpaces>
  <Paragraphs>140</Paragraphs>
  <Company>Минфин СО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2019-10-25T04:38:00Z</dcterms:created>
  <dc:creator>Matveyev</dc:creator>
  <dc:description/>
  <dc:language>ru-RU</dc:language>
  <cp:lastModifiedBy/>
  <cp:lastPrinted>2021-11-24T13:47:37Z</cp:lastPrinted>
  <dcterms:modified xsi:type="dcterms:W3CDTF">2021-11-24T13:54:54Z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Минфин СО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