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widowControl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widowControl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10.03.2022</w:t>
      </w:r>
      <w:r>
        <w:rPr>
          <w:b/>
          <w:sz w:val="28"/>
          <w:szCs w:val="28"/>
        </w:rPr>
        <w:t xml:space="preserve">  N </w:t>
      </w:r>
      <w:r>
        <w:rPr>
          <w:b/>
          <w:sz w:val="28"/>
          <w:szCs w:val="28"/>
        </w:rPr>
        <w:t>182</w:t>
      </w:r>
    </w:p>
    <w:p>
      <w:pPr>
        <w:pStyle w:val="Normal"/>
        <w:widowControl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 утверждении плана мероприятий по противодействию</w:t>
      </w:r>
    </w:p>
    <w:p>
      <w:pPr>
        <w:pStyle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экстремизма и обеспечения гармонизации межнациональных</w:t>
      </w:r>
    </w:p>
    <w:p>
      <w:pPr>
        <w:pStyle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 этноконфессиональных отношений на территории </w:t>
      </w:r>
    </w:p>
    <w:p>
      <w:pPr>
        <w:pStyle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на 2022 год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widowControl w:val="false"/>
        <w:tabs>
          <w:tab w:val="clear" w:pos="708"/>
          <w:tab w:val="left" w:pos="8205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основании Муниципальной программы «Профилактика экстремизма и гармонизация межнациональных и межконфессиональных отношений в Камышловском городском округе до 2028 года», утвержденной постановлением администрации Камышловского городского округа от 20.10.2021г. № 783, Устава Камышловского городского округа, администрация Камышловского городского округа</w:t>
      </w:r>
    </w:p>
    <w:p>
      <w:pPr>
        <w:pStyle w:val="2"/>
        <w:keepNext w:val="true"/>
        <w:widowControl/>
        <w:suppressAutoHyphens w:val="true"/>
        <w:bidi w:val="0"/>
        <w:spacing w:lineRule="auto" w:line="240" w:before="0" w:after="0"/>
        <w:ind w:left="0" w:right="0" w:hanging="0"/>
        <w:jc w:val="both"/>
        <w:textAlignment w:val="baseline"/>
        <w:outlineLvl w:val="1"/>
        <w:rPr>
          <w:rFonts w:ascii="Liberation Serif" w:hAnsi="Liberation Serif" w:cs="Times New Roman"/>
          <w:i w:val="false"/>
          <w:i w:val="false"/>
        </w:rPr>
      </w:pPr>
      <w:r>
        <w:rPr>
          <w:rFonts w:cs="Times New Roman" w:ascii="Liberation Serif" w:hAnsi="Liberation Serif"/>
          <w:i w:val="false"/>
        </w:rPr>
        <w:t>ПОСТАНОВЛЯЕТ:</w:t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план мероприятий по противодействию экстремизма и обеспечения гармонизации межнациональных и этноконфессиональных отношений на территории Камышловского городского округа на 2022 год (Приложение №1).</w:t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Назначить ответственным за реализацию</w:t>
      </w:r>
      <w:r>
        <w:rPr>
          <w:rFonts w:ascii="Liberation Serif" w:hAnsi="Liberation Serif"/>
          <w:sz w:val="28"/>
          <w:szCs w:val="28"/>
        </w:rPr>
        <w:t xml:space="preserve"> мероприятий по противодействию экстремизма и обеспечения гармонизации межнациональных и этноконфессиональных отношений на территории Камышловского городского округа на 2022 год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п</w:t>
      </w:r>
      <w:r>
        <w:rPr>
          <w:rFonts w:ascii="Liberation Serif" w:hAnsi="Liberation Serif"/>
          <w:sz w:val="28"/>
          <w:szCs w:val="28"/>
        </w:rPr>
        <w:t>редседател</w:t>
      </w:r>
      <w:r>
        <w:rPr>
          <w:rFonts w:ascii="Liberation Serif" w:hAnsi="Liberation Serif"/>
          <w:sz w:val="28"/>
          <w:szCs w:val="28"/>
        </w:rPr>
        <w:t>я</w:t>
      </w:r>
      <w:r>
        <w:rPr>
          <w:rFonts w:ascii="Liberation Serif" w:hAnsi="Liberation Serif"/>
          <w:sz w:val="28"/>
          <w:szCs w:val="28"/>
        </w:rPr>
        <w:t xml:space="preserve"> Комитета по образованию, культуре, спорту и делам молодежи администрации Камышловского городского округа Кузнецов</w:t>
      </w:r>
      <w:r>
        <w:rPr>
          <w:rFonts w:ascii="Liberation Serif" w:hAnsi="Liberation Serif"/>
          <w:sz w:val="28"/>
          <w:szCs w:val="28"/>
        </w:rPr>
        <w:t>у</w:t>
      </w:r>
      <w:r>
        <w:rPr>
          <w:rFonts w:ascii="Liberation Serif" w:hAnsi="Liberation Serif"/>
          <w:sz w:val="28"/>
          <w:szCs w:val="28"/>
        </w:rPr>
        <w:t xml:space="preserve"> О.М. </w:t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</w:t>
      </w:r>
      <w:r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ы администрации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                                                     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Е.Н. Власова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10261" w:right="0" w:hanging="0"/>
        <w:jc w:val="left"/>
        <w:textAlignment w:val="baseline"/>
        <w:rPr/>
      </w:pPr>
      <w:r>
        <w:rPr>
          <w:rFonts w:ascii="Liberation Serif" w:hAnsi="Liberation Serif"/>
          <w:sz w:val="28"/>
          <w:szCs w:val="28"/>
        </w:rPr>
        <w:t>Приложение №1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10261" w:right="0" w:hanging="0"/>
        <w:jc w:val="left"/>
        <w:textAlignment w:val="baseline"/>
        <w:rPr>
          <w:b/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>УТВЕРЖДЕН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10261" w:right="0" w:hanging="0"/>
        <w:jc w:val="left"/>
        <w:textAlignment w:val="baseline"/>
        <w:rPr/>
      </w:pPr>
      <w:r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остановлением администрации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10261" w:right="0" w:hanging="0"/>
        <w:jc w:val="left"/>
        <w:textAlignment w:val="baseline"/>
        <w:rPr/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10261" w:right="0" w:hanging="0"/>
        <w:jc w:val="left"/>
        <w:textAlignment w:val="baseline"/>
        <w:rPr/>
      </w:pP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10.03.2022</w:t>
      </w:r>
      <w:r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182</w:t>
      </w:r>
    </w:p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keepNext w:val="true"/>
        <w:widowControl/>
        <w:numPr>
          <w:ilvl w:val="0"/>
          <w:numId w:val="0"/>
        </w:numPr>
        <w:suppressAutoHyphens w:val="false"/>
        <w:ind w:left="0" w:firstLine="540"/>
        <w:jc w:val="center"/>
        <w:textAlignment w:val="auto"/>
        <w:outlineLvl w:val="0"/>
        <w:rPr>
          <w:rFonts w:ascii="Liberation Serif" w:hAnsi="Liberation Serif" w:cs="Arial"/>
          <w:sz w:val="28"/>
          <w:szCs w:val="28"/>
          <w:lang w:eastAsia="en-US"/>
        </w:rPr>
      </w:pPr>
      <w:r>
        <w:rPr>
          <w:rFonts w:cs="Arial" w:ascii="Liberation Serif" w:hAnsi="Liberation Serif"/>
          <w:sz w:val="28"/>
          <w:szCs w:val="28"/>
          <w:lang w:eastAsia="en-US"/>
        </w:rPr>
        <w:t>План</w:t>
      </w:r>
    </w:p>
    <w:p>
      <w:pPr>
        <w:pStyle w:val="Normal"/>
        <w:keepNext w:val="true"/>
        <w:widowControl/>
        <w:numPr>
          <w:ilvl w:val="0"/>
          <w:numId w:val="0"/>
        </w:numPr>
        <w:suppressAutoHyphens w:val="true"/>
        <w:ind w:left="0" w:firstLine="540"/>
        <w:jc w:val="center"/>
        <w:textAlignment w:val="auto"/>
        <w:outlineLvl w:val="0"/>
        <w:rPr/>
      </w:pPr>
      <w:r>
        <w:rPr>
          <w:rFonts w:cs="Arial" w:ascii="Liberation Serif" w:hAnsi="Liberation Serif"/>
          <w:sz w:val="28"/>
          <w:szCs w:val="28"/>
          <w:lang w:eastAsia="en-US"/>
        </w:rPr>
        <w:t xml:space="preserve">мероприятий по противодействию экстремизма и обеспечения гармонизации межнациональных </w:t>
      </w:r>
    </w:p>
    <w:p>
      <w:pPr>
        <w:pStyle w:val="Normal"/>
        <w:widowControl/>
        <w:numPr>
          <w:ilvl w:val="0"/>
          <w:numId w:val="0"/>
        </w:numPr>
        <w:suppressAutoHyphens w:val="true"/>
        <w:ind w:left="0" w:firstLine="540"/>
        <w:jc w:val="center"/>
        <w:textAlignment w:val="auto"/>
        <w:outlineLvl w:val="0"/>
        <w:rPr/>
      </w:pPr>
      <w:r>
        <w:rPr>
          <w:rFonts w:cs="Arial" w:ascii="Liberation Serif" w:hAnsi="Liberation Serif"/>
          <w:sz w:val="28"/>
          <w:szCs w:val="28"/>
          <w:lang w:eastAsia="en-US"/>
        </w:rPr>
        <w:t>и этноконфессиональных  отношений на территории Камышловского городского округа на 2022 год</w:t>
      </w:r>
    </w:p>
    <w:p>
      <w:pPr>
        <w:pStyle w:val="Normal"/>
        <w:widowControl/>
        <w:suppressAutoHyphens w:val="false"/>
        <w:jc w:val="center"/>
        <w:textAlignment w:val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tbl>
      <w:tblPr>
        <w:tblW w:w="1499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4"/>
        <w:gridCol w:w="2837"/>
        <w:gridCol w:w="2505"/>
        <w:gridCol w:w="2262"/>
        <w:gridCol w:w="2280"/>
        <w:gridCol w:w="2402"/>
        <w:gridCol w:w="2031"/>
      </w:tblGrid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jc w:val="center"/>
              <w:textAlignment w:val="auto"/>
              <w:rPr/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№ </w:t>
            </w:r>
          </w:p>
          <w:p>
            <w:pPr>
              <w:pStyle w:val="Normal"/>
              <w:widowControl/>
              <w:suppressAutoHyphens w:val="true"/>
              <w:jc w:val="center"/>
              <w:textAlignment w:val="auto"/>
              <w:rPr/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Исполнитель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Срок осуществления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Источник</w:t>
            </w:r>
          </w:p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финансирования, сумма расходов,</w:t>
            </w:r>
          </w:p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тыс.руб.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Система показателей контроля исполнения мероприятия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uppressAutoHyphens w:val="false"/>
              <w:ind w:left="0" w:hanging="0"/>
              <w:jc w:val="both"/>
              <w:textAlignment w:val="auto"/>
              <w:outlineLvl w:val="0"/>
              <w:rPr>
                <w:rFonts w:ascii="Liberation Serif" w:hAnsi="Liberation Serif" w:cs="Aria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Arial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Документы, подтверждающие исполнение мероприятий</w:t>
            </w:r>
          </w:p>
        </w:tc>
      </w:tr>
      <w:tr>
        <w:trPr/>
        <w:tc>
          <w:tcPr>
            <w:tcW w:w="14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Организационные мероприятия, направленные на управление в сфере государственной национальной политики Российской Федерации, на профилактику экстремизма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Работа межведомственной комиссии по профилактике экстремизма на территории Камышловского городского округа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false"/>
              <w:ind w:left="0" w:hanging="0"/>
              <w:textAlignment w:val="auto"/>
              <w:outlineLvl w:val="5"/>
              <w:rPr>
                <w:rFonts w:ascii="Liberation Serif" w:hAnsi="Liberation Serif"/>
                <w:bCs/>
                <w:i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доля выполненных в полном объеме протокольных решений комиссии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false"/>
              <w:ind w:left="0" w:hanging="0"/>
              <w:textAlignment w:val="auto"/>
              <w:outlineLvl w:val="5"/>
              <w:rPr>
                <w:rFonts w:ascii="Liberation Serif" w:hAnsi="Liberation Serif"/>
                <w:bCs/>
                <w:i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отчеты ответственных исполнителей о выполнении протокольных решений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Работа консультативного совета по взаимодействию с национальными и религиозными общественными объединениями на территории Камышловского городского округа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false"/>
              <w:ind w:left="0" w:hanging="0"/>
              <w:textAlignment w:val="auto"/>
              <w:outlineLvl w:val="5"/>
              <w:rPr>
                <w:rFonts w:ascii="Liberation Serif" w:hAnsi="Liberation Serif"/>
                <w:bCs/>
                <w:i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доля выполненных в полном объеме протокольных решений комиссии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false"/>
              <w:ind w:left="0" w:hanging="0"/>
              <w:textAlignment w:val="auto"/>
              <w:outlineLvl w:val="5"/>
              <w:rPr>
                <w:rFonts w:ascii="Liberation Serif" w:hAnsi="Liberation Serif"/>
                <w:bCs/>
                <w:i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отчеты ответственных исполнителей о выполнении протокольных решений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Взаимодействие   субъектов профилактики с территориальной комиссией по делам несовершеннолетних и уполномоченными сотрудниками межмуниципального отдела МВД России «Камышловский» 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Межмуниципальный отдел МВД России «Камышловский» (по согласованию), субъекты профилактики (по согласованию)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false"/>
              <w:ind w:left="0" w:hanging="0"/>
              <w:textAlignment w:val="auto"/>
              <w:outlineLvl w:val="5"/>
              <w:rPr>
                <w:rFonts w:ascii="Liberation Serif" w:hAnsi="Liberation Serif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color w:val="000000" w:themeColor="text1"/>
                <w:sz w:val="28"/>
                <w:szCs w:val="28"/>
              </w:rPr>
              <w:t>наличие системы взаимосогласованных действий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uppressAutoHyphens w:val="false"/>
              <w:ind w:left="0" w:firstLine="540"/>
              <w:textAlignment w:val="auto"/>
              <w:outlineLvl w:val="0"/>
              <w:rPr>
                <w:rFonts w:ascii="Liberation Serif" w:hAnsi="Liberation Serif" w:cs="Aria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Arial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отчеты ответственных лиц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Подписание и реализация Соглашений о сотрудничестве с Каменской епархией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администрация  Камышловского городского округа,</w:t>
            </w:r>
          </w:p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по отдельному плану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false"/>
              <w:ind w:left="0" w:hanging="0"/>
              <w:textAlignment w:val="auto"/>
              <w:outlineLvl w:val="5"/>
              <w:rPr>
                <w:rFonts w:ascii="Liberation Serif" w:hAnsi="Liberation Serif"/>
                <w:bCs/>
                <w:i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доля выполненных в полном объеме мероприятий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false"/>
              <w:ind w:left="0" w:hanging="0"/>
              <w:textAlignment w:val="auto"/>
              <w:outlineLvl w:val="5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Соглашения,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false"/>
              <w:ind w:left="0" w:hanging="0"/>
              <w:textAlignment w:val="auto"/>
              <w:outlineLvl w:val="5"/>
              <w:rPr>
                <w:rFonts w:ascii="Liberation Serif" w:hAnsi="Liberation Serif"/>
                <w:bCs/>
                <w:i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отчеты ответственных исполнителей о выполнении мероприятий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Организация повышения квалификации работников муниципальных учреждений, муниципальных служащих по вопросам гармонизации межнациональных отношений, поддержания межэтнического мира, профилактики экстремизма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Организационный отдел администрации Камышловского городского округа,</w:t>
            </w:r>
          </w:p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  <w:highlight w:val="yellow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за счет средств работодателя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количество работников, прошедших повышение квалификации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отчет о повышении квалификации,</w:t>
            </w:r>
          </w:p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с приложением удостоверений о повышении квалификации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Ведение мониторинга межнациональных отношений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наличие мониторинга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отчет исполнителей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Организация  учебных семинаров, круглых столов, педагогических чтений по вопросам  воспитательно-профилактической работы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в рамках текущего финансирования деятельности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количество семинаров, совещаний, количество участников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отчеты исполнителей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Использование в учебном процессе методических пособий; рекомендаций  по гражданско-правовому образованию, направленному на формирование толерантного сознания, веротерпимости и обучение  межкультурному диалогу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образовательные учреждения городского округа</w:t>
            </w:r>
          </w:p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количество использованных материалов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отчет исполнителей</w:t>
            </w:r>
          </w:p>
        </w:tc>
      </w:tr>
      <w:tr>
        <w:trPr/>
        <w:tc>
          <w:tcPr>
            <w:tcW w:w="14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Организация и проведение мероприятий, направленных на развитие системы образования, гражданского и патриотического воспитания подрастающего поколения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Формирование и функционирование школьной службы примирения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образовательные учреждения  городского округа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в течение</w:t>
            </w:r>
          </w:p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учебного года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количество действующих школ примирения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отчет исполнителей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Организация участия детей и молодежи  в городских мероприятиях и праздниках гражданско-патриотической направленности</w:t>
            </w:r>
          </w:p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округа, Муниципальное бюджетное учреждение «Центр развития физической культуры, спорта и патриотического воспитания»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количество проведенных мероприятий, их участников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отчет исполнителей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Организация и проведение интеллектуальных игр, дебатов, акций для старшеклассников в общеобразовательных учреждениях по формированию национальной терпимости, знакомству с культурами   народов Урала, страны, мира, противодействию различным видам экстремизма,  этнофобии и ксенофобии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округа,</w:t>
            </w:r>
          </w:p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образовательные учреждения городского округа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количество проведенных мероприятий, их участников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отчет исполнителей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Организация и проведение мероприятий и  акций против проявления экстремизма во Всемирный день толерантности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Комитет по образованию, культуре, спорту и делам молодежи администрации Камышловского городского округа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количество проведенных мероприятий, их участников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отчет исполнителей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Организация проведения в городских, детских и школьных библиотеках циклов бесед по темам: «Культура межнациональных отношений», «Жить в мире с собой и другими», «Все  мы разные, но у нас много общего», «Я уважаю твое право»</w:t>
            </w:r>
          </w:p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согласно </w:t>
            </w:r>
          </w:p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планам библиотек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количество проведенных мероприятий, их участников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отчет исполнителей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Проведение родительского просвещения по темам: «Учимся договариваться», «Учимся принимать решения», «Воспитание толерантного сознания»</w:t>
            </w:r>
          </w:p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общеобразовательные учреждения городского округа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согласно</w:t>
            </w:r>
          </w:p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планам образовательных организаций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количество проведенных мероприятий, их участников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отчет исполнителей</w:t>
            </w:r>
          </w:p>
        </w:tc>
      </w:tr>
      <w:tr>
        <w:trPr>
          <w:trHeight w:val="2678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Проведение в общеобразовательных учреждениях циклов бесед, классных часов по темам: «Толерантная дорога к миру», «Толерантность помогает приобрести друзей», «Умение жить в обществе».</w:t>
            </w:r>
          </w:p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общеобразовательные учреждения городского округа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согласно планам образовательных учреждений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количество проведенных мероприятий, их участников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отчет исполнителей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Проведение  мониторинга учащихся на предмет приверженности  к идеям экстремистского  толка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округа,</w:t>
            </w:r>
          </w:p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Межмуниципальный отдел МВД России «Камышловский»</w:t>
            </w:r>
          </w:p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(по согласованию)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наличие мониторинга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отчет исполнителей 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Изучение существующих и вновь образующихся неформальных молодежных объединений  асоциальной направленности в территории, способных перерасти в экстремистские организации, в целях дальнейшей   их переориентации 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округа,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Межмуниципальный отдел МВД России «Камышловский» (по согласованию)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наличие данных,</w:t>
            </w:r>
          </w:p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ведение реестра неформальных молодежных организаций (объединений)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отчет исполнителей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Проведение мониторинга ситуации в сфере противодействия экстремизму в образовательных учреждениях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округа,</w:t>
            </w:r>
          </w:p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МКУ «Центр обеспечения деятельности городской системы образования»,</w:t>
            </w:r>
          </w:p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Образовательные учреждения городского округа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наличие системы мониторинга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доклад по итогам за год о результатах мониторинга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color w:val="000000" w:themeColor="text1"/>
                <w:sz w:val="28"/>
                <w:szCs w:val="28"/>
              </w:rPr>
              <w:t>Организация в образовательных учреждениях работы по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округа, МКУ «Центр обеспечения деятельности городской системы образования»,</w:t>
            </w:r>
          </w:p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Межмуниципальный отдел МВД России «Камышловский»</w:t>
            </w:r>
            <w:r>
              <w:rPr>
                <w:rFonts w:ascii="Liberation Serif" w:hAnsi="Liberation Serif"/>
                <w:bCs/>
                <w:iCs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Liberation Serif" w:hAnsi="Liberation Serif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количество проведенных мероприятий, их участников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отчет исполнителей</w:t>
            </w:r>
          </w:p>
        </w:tc>
      </w:tr>
      <w:tr>
        <w:trPr>
          <w:trHeight w:val="206" w:hRule="atLeast"/>
        </w:trPr>
        <w:tc>
          <w:tcPr>
            <w:tcW w:w="14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Укрепление единства и духовной общности народов, проживающих на территории Камышловского городского округа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pacing w:beforeAutospacing="1" w:after="0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Развитие национальных коллективов на территории Камышловского городского округа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количество коллективов, их участников, количество выступлений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отчет исполнителей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pacing w:beforeAutospacing="1" w:after="0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Проведение казачьей спартакиады на Камышловской земле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округа,</w:t>
            </w:r>
          </w:p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Некоммерческая организация «Станичное казачье общество» «Камышловская» (по согласованию),</w:t>
            </w:r>
          </w:p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Муниципальное бюджетное учреждение «Центр развития физической культуры, спорта и патриотического воспитания»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2020 – 50000,0;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2021 – 50000,0;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2022 – 50000,0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количество участников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отчет исполнителей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pacing w:beforeAutospacing="1" w:after="0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Проведение мероприятий в рамках Дня народов Среднего Урала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округа, Муниципальное бюджетное учреждение «Центр развития физической культуры, спорта и патриотического воспитания»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Liberation Serif" w:hAnsi="Liberation Serif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color w:val="000000" w:themeColor="text1"/>
                <w:sz w:val="28"/>
                <w:szCs w:val="28"/>
              </w:rPr>
              <w:t>приобретение наградной продукции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ascii="Liberation Serif" w:hAnsi="Liberation Serif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color w:val="000000" w:themeColor="text1"/>
                <w:sz w:val="28"/>
                <w:szCs w:val="28"/>
              </w:rPr>
              <w:t>2020 – 46200,0;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ascii="Liberation Serif" w:hAnsi="Liberation Serif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color w:val="000000" w:themeColor="text1"/>
                <w:sz w:val="28"/>
                <w:szCs w:val="28"/>
              </w:rPr>
              <w:t>2021 – 0,0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color w:val="000000" w:themeColor="text1"/>
                <w:sz w:val="28"/>
                <w:szCs w:val="28"/>
              </w:rPr>
              <w:t xml:space="preserve">2022 -50600,0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количество проведенных мероприятий, их участников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отчет исполнителей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pacing w:beforeAutospacing="1" w:after="0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Организация участия школьников в олимпиадах по родному языку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округа,</w:t>
            </w:r>
          </w:p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МКУ «Центр обеспечения деятельности городской системы образования»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по отдельному плану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количество проведенных мероприятий, их участников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отчет исполнителей</w:t>
            </w:r>
          </w:p>
        </w:tc>
      </w:tr>
      <w:tr>
        <w:trPr/>
        <w:tc>
          <w:tcPr>
            <w:tcW w:w="14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Поддержка русского языка как государственного языка Российской Федерации и языков народов России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pacing w:beforeAutospacing="1" w:after="0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Реализация мероприятий, посвященных дню русского языка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округа;</w:t>
            </w:r>
          </w:p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образовательные организации городского округа;</w:t>
            </w:r>
          </w:p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МКУ «Центр обеспечения деятельности городской системы образования»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2-й, 4-й квартал года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количество проведенных мероприятий, их участников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отчет исполнителей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pacing w:beforeAutospacing="1" w:after="0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Содействие в обучении мигрантов русскому языку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Отделение УФМС России по Свердловской области в Камышловском районе (по согласованию)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по необходимости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количество проведенных мероприятий, их участников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отчет исполнителей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Организация и проведение олимпиад, конкурсов знатоков русского языка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округа,</w:t>
            </w:r>
          </w:p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МКУ «Центр обеспечения деятельности городской системы образования»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color w:val="000000" w:themeColor="text1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количество проведенных мероприятий, их участников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отчет исполнителей</w:t>
            </w:r>
          </w:p>
        </w:tc>
      </w:tr>
      <w:tr>
        <w:trPr/>
        <w:tc>
          <w:tcPr>
            <w:tcW w:w="14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Формирование системы социальной  адаптации мигрантов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Проведение оперативно-профилактических мероприятий с мигрантами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Отделение УФМС России по Свердловской области в Камышловском районе (по согласованию),</w:t>
            </w:r>
          </w:p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Межмуниципальный отдел МВД России «Камышловский» (по согласованию)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количество проведенных мероприятий, их участников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отчет исполнителей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Участие в реализации государственной Программы переселения соотечественников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администрация  Камышловского городского округа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по положению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количество рассмотренных анкет - заявлений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протоколы заседания комиссии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Анализ миграционной ситуации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Отделение УФМС России по Свердловской области в Камышловском районе (по согласованию)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наличие данных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доклад главе городского округа</w:t>
            </w:r>
          </w:p>
        </w:tc>
      </w:tr>
      <w:tr>
        <w:trPr/>
        <w:tc>
          <w:tcPr>
            <w:tcW w:w="14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Информационное обеспечение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Организация подготовки и размещения материалов в СМИ и Интернет-ресурсах по информированию о реализации программных мероприятий, по созданию негативного имиджа националистических организаций и экстремистских движений, дискредитации проповедуемой ими идеологии и взглядов, их лидеров и активных членов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администрация  Камышловского городского округа,</w:t>
            </w:r>
          </w:p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субъекты профилактики</w:t>
            </w:r>
          </w:p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(по согласованию)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количество материалов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отчеты исполнителей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Приобретение (изготовление) буклетов, плакатов, памяток и рекомендаций для образовательных учреждений, предприятий и учреждений, расположенных на территории городского округа, по безопасности, профилактике экстремизма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округа,</w:t>
            </w:r>
          </w:p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МБУ «Центр развития физической культуры, спорта и патриотического воспитания»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Liberation Serif" w:hAnsi="Liberation Serif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color w:val="000000" w:themeColor="text1"/>
                <w:sz w:val="28"/>
                <w:szCs w:val="28"/>
              </w:rPr>
              <w:t>в рамках подпрограммы: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ascii="Liberation Serif" w:hAnsi="Liberation Serif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color w:val="000000" w:themeColor="text1"/>
                <w:sz w:val="28"/>
                <w:szCs w:val="28"/>
              </w:rPr>
              <w:t>2020 – 40000,0;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ascii="Liberation Serif" w:hAnsi="Liberation Serif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color w:val="000000" w:themeColor="text1"/>
                <w:sz w:val="28"/>
                <w:szCs w:val="28"/>
              </w:rPr>
              <w:t>2021 - 0,0;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color w:val="000000" w:themeColor="text1"/>
                <w:sz w:val="28"/>
                <w:szCs w:val="28"/>
              </w:rPr>
              <w:t>2022 – 30000,0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количество материалов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отчеты исполнителей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Проведение спортивных мероприятий, спартакиад, </w:t>
            </w:r>
            <w:r>
              <w:rPr>
                <w:rFonts w:ascii="Liberation Serif" w:hAnsi="Liberation Serif"/>
                <w:bCs/>
                <w:iCs/>
                <w:color w:val="000000" w:themeColor="text1"/>
                <w:sz w:val="28"/>
                <w:szCs w:val="28"/>
              </w:rPr>
              <w:t>в том числе массовых мероприятий, направленных на  профилактику экстремизма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округа,</w:t>
            </w:r>
          </w:p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МБУ «Центр развития физической культуры, спорта и патриотического воспитания»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Liberation Serif" w:hAnsi="Liberation Serif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color w:val="000000" w:themeColor="text1"/>
                <w:sz w:val="28"/>
                <w:szCs w:val="28"/>
              </w:rPr>
              <w:t>в рамках подпрограммы: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ascii="Liberation Serif" w:hAnsi="Liberation Serif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color w:val="000000" w:themeColor="text1"/>
                <w:sz w:val="28"/>
                <w:szCs w:val="28"/>
              </w:rPr>
              <w:t>2020 – 50000,0;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ascii="Liberation Serif" w:hAnsi="Liberation Serif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color w:val="000000" w:themeColor="text1"/>
                <w:sz w:val="28"/>
                <w:szCs w:val="28"/>
              </w:rPr>
              <w:t>2021 - 50000,0;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color w:val="000000" w:themeColor="text1"/>
                <w:sz w:val="28"/>
                <w:szCs w:val="28"/>
              </w:rPr>
              <w:t>2022 – 50000,0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количество материалов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both"/>
              <w:textAlignment w:val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отчеты исполнителей</w:t>
            </w:r>
          </w:p>
        </w:tc>
      </w:tr>
    </w:tbl>
    <w:p>
      <w:pPr>
        <w:sectPr>
          <w:headerReference w:type="default" r:id="rId3"/>
          <w:type w:val="nextPage"/>
          <w:pgSz w:orient="landscape" w:w="16838" w:h="11906"/>
          <w:pgMar w:left="1134" w:right="1134" w:header="709" w:top="766" w:footer="0" w:bottom="851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/>
      </w:r>
    </w:p>
    <w:sectPr>
      <w:headerReference w:type="default" r:id="rId4"/>
      <w:type w:val="nextPage"/>
      <w:pgSz w:orient="landscape" w:w="16838" w:h="11906"/>
      <w:pgMar w:left="1134" w:right="1134" w:header="709" w:top="85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14</w:t>
    </w:r>
    <w:r>
      <w:rPr/>
      <w:fldChar w:fldCharType="end"/>
    </w:r>
  </w:p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15</w:t>
    </w:r>
    <w:r>
      <w:rPr/>
      <w:fldChar w:fldCharType="end"/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6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8396f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8396f"/>
    <w:pPr>
      <w:keepNext w:val="true"/>
      <w:widowControl/>
      <w:jc w:val="center"/>
      <w:outlineLvl w:val="0"/>
    </w:pPr>
    <w:rPr>
      <w:rFonts w:eastAsia="Arial Unicode MS"/>
      <w:b/>
      <w:bCs/>
      <w:sz w:val="24"/>
      <w:szCs w:val="24"/>
    </w:rPr>
  </w:style>
  <w:style w:type="paragraph" w:styleId="2">
    <w:name w:val="Heading 2"/>
    <w:basedOn w:val="Normal"/>
    <w:next w:val="Normal"/>
    <w:link w:val="20"/>
    <w:qFormat/>
    <w:rsid w:val="0018396f"/>
    <w:pPr>
      <w:keepNext w:val="true"/>
      <w:widowControl/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520fdc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18396f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8396f"/>
    <w:rPr>
      <w:rFonts w:ascii="Times New Roman" w:hAnsi="Times New Roman" w:eastAsia="Arial Unicode MS" w:cs="Times New Roman"/>
      <w:b/>
      <w:bCs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18396f"/>
    <w:rPr>
      <w:rFonts w:ascii="Arial" w:hAnsi="Arial" w:eastAsia="Arial" w:cs="Arial"/>
      <w:b/>
      <w:bCs/>
      <w:i/>
      <w:iCs/>
      <w:sz w:val="28"/>
      <w:szCs w:val="28"/>
      <w:lang w:eastAsia="ru-RU"/>
    </w:rPr>
  </w:style>
  <w:style w:type="character" w:styleId="Style10" w:customStyle="1">
    <w:name w:val="Основной текст Знак"/>
    <w:basedOn w:val="DefaultParagraphFont"/>
    <w:link w:val="a3"/>
    <w:uiPriority w:val="99"/>
    <w:semiHidden/>
    <w:qFormat/>
    <w:rsid w:val="0018396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1" w:customStyle="1">
    <w:name w:val="Красная строка Знак"/>
    <w:basedOn w:val="Style10"/>
    <w:link w:val="a5"/>
    <w:qFormat/>
    <w:rsid w:val="0018396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18396f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0"/>
      <w:szCs w:val="20"/>
      <w:lang w:eastAsia="ru-RU"/>
    </w:rPr>
  </w:style>
  <w:style w:type="character" w:styleId="Style12" w:customStyle="1">
    <w:name w:val="Верхний колонтитул Знак"/>
    <w:basedOn w:val="DefaultParagraphFont"/>
    <w:link w:val="a7"/>
    <w:uiPriority w:val="99"/>
    <w:qFormat/>
    <w:rsid w:val="0018396f"/>
    <w:rPr>
      <w:rFonts w:ascii="Times New Roman" w:hAnsi="Times New Roman" w:eastAsia="Times New Roman" w:cs="Times New Roman"/>
      <w:smallCaps/>
      <w:sz w:val="24"/>
      <w:szCs w:val="24"/>
      <w:lang w:val="x-none" w:eastAsia="x-none"/>
    </w:rPr>
  </w:style>
  <w:style w:type="character" w:styleId="Style13" w:customStyle="1">
    <w:name w:val="Текст выноски Знак"/>
    <w:basedOn w:val="DefaultParagraphFont"/>
    <w:link w:val="a9"/>
    <w:uiPriority w:val="99"/>
    <w:semiHidden/>
    <w:qFormat/>
    <w:rsid w:val="00eb25b2"/>
    <w:rPr>
      <w:rFonts w:ascii="Segoe UI" w:hAnsi="Segoe UI" w:eastAsia="Times New Roman" w:cs="Segoe UI"/>
      <w:sz w:val="18"/>
      <w:szCs w:val="18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520fdc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0"/>
      <w:szCs w:val="20"/>
      <w:lang w:eastAsia="ru-RU"/>
    </w:rPr>
  </w:style>
  <w:style w:type="character" w:styleId="Style14" w:customStyle="1">
    <w:name w:val="Основной текст с отступом Знак"/>
    <w:basedOn w:val="DefaultParagraphFont"/>
    <w:link w:val="ab"/>
    <w:uiPriority w:val="99"/>
    <w:semiHidden/>
    <w:qFormat/>
    <w:rsid w:val="00520fdc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link w:val="a4"/>
    <w:uiPriority w:val="99"/>
    <w:semiHidden/>
    <w:unhideWhenUsed/>
    <w:rsid w:val="0018396f"/>
    <w:pPr>
      <w:spacing w:before="0" w:after="12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Body Text Indent"/>
    <w:basedOn w:val="Normal"/>
    <w:link w:val="ac"/>
    <w:uiPriority w:val="99"/>
    <w:semiHidden/>
    <w:unhideWhenUsed/>
    <w:rsid w:val="00520fdc"/>
    <w:pPr>
      <w:spacing w:before="0" w:after="120"/>
      <w:ind w:left="283" w:hanging="0"/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8"/>
    <w:uiPriority w:val="99"/>
    <w:rsid w:val="0018396f"/>
    <w:pPr>
      <w:widowControl/>
      <w:tabs>
        <w:tab w:val="clear" w:pos="708"/>
        <w:tab w:val="center" w:pos="4677" w:leader="none"/>
        <w:tab w:val="right" w:pos="9355" w:leader="none"/>
      </w:tabs>
      <w:suppressAutoHyphens w:val="false"/>
      <w:textAlignment w:val="auto"/>
    </w:pPr>
    <w:rPr>
      <w:smallCaps/>
      <w:sz w:val="24"/>
      <w:szCs w:val="24"/>
      <w:lang w:val="x-none" w:eastAsia="x-none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eb25b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LibreOffice/6.4.7.2$Linux_X86_64 LibreOffice_project/40$Build-2</Application>
  <Pages>15</Pages>
  <Words>1620</Words>
  <Characters>13079</Characters>
  <CharactersWithSpaces>14505</CharactersWithSpaces>
  <Paragraphs>302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2022-03-03T04:39:00Z</dcterms:created>
  <dc:creator>NekrasovaYuN</dc:creator>
  <dc:description/>
  <dc:language>ru-RU</dc:language>
  <cp:lastModifiedBy/>
  <cp:lastPrinted>2022-03-10T14:13:53Z</cp:lastPrinted>
  <dcterms:modified xsi:type="dcterms:W3CDTF">2022-03-10T14:18:19Z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