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ind w:left="0" w:right="0" w:hanging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ind w:left="0" w:right="0" w:hanging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0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widowControl w:val="false"/>
        <w:jc w:val="both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Style w:val="Style12"/>
          <w:rFonts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от </w:t>
      </w:r>
      <w:r>
        <w:rPr>
          <w:rStyle w:val="Style12"/>
          <w:rFonts w:eastAsia="Noto Sans Devanagari" w:cs="Liberation Serif;Times New Roman"/>
          <w:b/>
          <w:bCs/>
          <w:i w:val="false"/>
          <w:iCs w:val="false"/>
          <w:color w:val="auto"/>
          <w:spacing w:val="-1"/>
          <w:kern w:val="2"/>
          <w:sz w:val="28"/>
          <w:szCs w:val="28"/>
          <w:lang w:val="ru-RU" w:eastAsia="hi-IN" w:bidi="ar-SA"/>
        </w:rPr>
        <w:t>2</w:t>
      </w:r>
      <w:r>
        <w:rPr>
          <w:rStyle w:val="Style12"/>
          <w:rFonts w:eastAsia="Noto Sans Devanagari" w:cs="Liberation Serif;Times New Roman"/>
          <w:b/>
          <w:bCs/>
          <w:i w:val="false"/>
          <w:iCs w:val="false"/>
          <w:color w:val="auto"/>
          <w:spacing w:val="-1"/>
          <w:kern w:val="2"/>
          <w:sz w:val="28"/>
          <w:szCs w:val="28"/>
          <w:lang w:val="ru-RU" w:eastAsia="hi-IN" w:bidi="ar-SA"/>
        </w:rPr>
        <w:t>5</w:t>
      </w:r>
      <w:r>
        <w:rPr>
          <w:rStyle w:val="Style12"/>
          <w:rFonts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.01.2022 N </w:t>
      </w:r>
      <w:r>
        <w:rPr>
          <w:rStyle w:val="Style12"/>
          <w:rFonts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5</w:t>
      </w:r>
      <w:r>
        <w:rPr>
          <w:rStyle w:val="Style12"/>
          <w:rFonts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1</w:t>
      </w:r>
    </w:p>
    <w:p>
      <w:pPr>
        <w:pStyle w:val="Normal"/>
        <w:jc w:val="center"/>
        <w:rPr>
          <w:rStyle w:val="Style12"/>
          <w:rFonts w:ascii="Liberation Serif" w:hAnsi="Liberation Serif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постановление главы Камышловского городского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округа от 09.11.2018 года №965 «Об утверждении муниципальной программы «Развитие социально-экономического комплекса Камышловского городского округа на 2021-2027 годы»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19.04.2021 №274; от 18.06.2021 №417, от 20.07.2021 № 495,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24.09.2021 №694, от 14.12.2021 № 926)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ab/>
      </w:r>
      <w:r>
        <w:rPr>
          <w:rStyle w:val="Style12"/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Решением Думы Камышловского городского округа от 23.12.2021 № 48 «О внесении изменений в Решение Думы Камышловского городского округа от 10.12.2020 № 555 «О бюджете Камышловского городского округа на 2021 год и плановый период 2022 и 2023 годов», с </w:t>
      </w:r>
      <w:r>
        <w:rPr>
          <w:rStyle w:val="Style12"/>
          <w:rFonts w:cs="Liberation Serif" w:ascii="Liberation Serif" w:hAnsi="Liberation Serif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rFonts w:ascii="Liberation Serif" w:hAnsi="Liberation Serif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 926), следующие изменения:</w:t>
      </w:r>
    </w:p>
    <w:p>
      <w:pPr>
        <w:pStyle w:val="Style20"/>
        <w:ind w:left="0" w:right="0" w:firstLine="708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1.1. В паспорте Программы: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ind w:left="0" w:right="0" w:firstLine="67"/>
        <w:jc w:val="both"/>
        <w:rPr/>
      </w:pPr>
      <w:r>
        <w:rPr>
          <w:rStyle w:val="Style12"/>
          <w:rFonts w:cs="Liberation Serif" w:ascii="Liberation Serif" w:hAnsi="Liberation Serif"/>
          <w:b w:val="false"/>
          <w:bCs w:val="false"/>
        </w:rPr>
        <w:t xml:space="preserve">«Всего: </w:t>
      </w:r>
      <w:r>
        <w:rPr>
          <w:rStyle w:val="Style12"/>
          <w:rFonts w:cs="Liberation Serif" w:ascii="Liberation Serif" w:hAnsi="Liberation Serif"/>
        </w:rPr>
        <w:t>1 585 289 364,78 рублей</w:t>
      </w:r>
    </w:p>
    <w:p>
      <w:pPr>
        <w:pStyle w:val="ConsPlusCell"/>
        <w:ind w:left="0" w:right="0" w:firstLine="6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в том числе: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2021 год - 289 218 923,78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2022 год - 232 625 586,00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2023 год - 287 648 971,0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2024 год - 193 948 971,0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2025 год - 193 948 971,0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2026 год - 193 948 971,0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 </w:t>
      </w:r>
      <w:r>
        <w:rPr>
          <w:rFonts w:cs="Liberation Serif" w:ascii="Liberation Serif" w:hAnsi="Liberation Serif"/>
          <w:sz w:val="27"/>
          <w:szCs w:val="27"/>
        </w:rPr>
        <w:t xml:space="preserve">2027 год - 193 948 971,0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из них: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b/>
          <w:sz w:val="27"/>
          <w:szCs w:val="27"/>
        </w:rPr>
        <w:t>федеральный бюджет</w:t>
      </w:r>
      <w:r>
        <w:rPr>
          <w:rStyle w:val="Style12"/>
          <w:rFonts w:cs="Liberation Serif" w:ascii="Liberation Serif" w:hAnsi="Liberation Serif"/>
          <w:sz w:val="27"/>
          <w:szCs w:val="27"/>
        </w:rPr>
        <w:t xml:space="preserve">: </w:t>
      </w:r>
      <w:r>
        <w:rPr>
          <w:rStyle w:val="Style12"/>
          <w:rFonts w:cs="Liberation Serif" w:ascii="Liberation Serif" w:hAnsi="Liberation Serif"/>
          <w:b/>
          <w:sz w:val="27"/>
          <w:szCs w:val="27"/>
        </w:rPr>
        <w:t>138 242 704,16</w:t>
      </w:r>
      <w:r>
        <w:rPr>
          <w:rStyle w:val="Style12"/>
          <w:rFonts w:cs="Liberation Serif" w:ascii="Liberation Serif" w:hAnsi="Liberation Serif"/>
          <w:sz w:val="27"/>
          <w:szCs w:val="27"/>
        </w:rPr>
        <w:t xml:space="preserve"> рублей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в том числе: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2021 год - 66 836 504,16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2022 год - 12 066 700,0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2023 год - 11 867 900,0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2024 год - 11 867 900,0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2025 год - 11 867 900,0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2026 год - 11 867 900,0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2027 год - 11 867 900,0 рублей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b/>
          <w:b/>
          <w:color w:val="000000"/>
          <w:sz w:val="27"/>
          <w:szCs w:val="27"/>
        </w:rPr>
      </w:pPr>
      <w:r>
        <w:rPr>
          <w:rFonts w:cs="Liberation Serif" w:ascii="Liberation Serif" w:hAnsi="Liberation Serif"/>
          <w:b/>
          <w:color w:val="000000"/>
          <w:sz w:val="27"/>
          <w:szCs w:val="27"/>
        </w:rPr>
        <w:t>областной бюджет: 661 987 468,23 рублей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>в том числе: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2021 год - 96 176 468,23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2022 год - 91 280 500,0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2023 год - 94 906 100,0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2024 год - 94 906 100,0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2025 год - 94 906 100,0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2026 год - 94 906 100,0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>2027 год - 94 906 100,0 рублей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b/>
          <w:color w:val="000000"/>
          <w:sz w:val="27"/>
          <w:szCs w:val="27"/>
        </w:rPr>
        <w:t>местный бюджет:</w:t>
      </w:r>
      <w:r>
        <w:rPr>
          <w:rStyle w:val="Style12"/>
          <w:rFonts w:cs="Liberation Serif" w:ascii="Liberation Serif" w:hAnsi="Liberation Serif"/>
          <w:color w:val="000000"/>
          <w:sz w:val="27"/>
          <w:szCs w:val="27"/>
        </w:rPr>
        <w:t xml:space="preserve"> </w:t>
      </w:r>
      <w:r>
        <w:rPr>
          <w:rStyle w:val="Style12"/>
          <w:rFonts w:cs="Liberation Serif" w:ascii="Liberation Serif" w:hAnsi="Liberation Serif"/>
          <w:b/>
          <w:bCs/>
          <w:color w:val="000000"/>
          <w:sz w:val="27"/>
          <w:szCs w:val="27"/>
        </w:rPr>
        <w:t>785 059 192,39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в том числе: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2021 год - 126 205 951,39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2022 год - 129 278 386,0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2023 год - 180 874 971,0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2024 год - 87 174 971,0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2025 год - 87 174 971,0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 xml:space="preserve">2026 год - 87 174 971,0 рублей,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>2027 год - 87 174 971,0 рублей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sz w:val="27"/>
          <w:szCs w:val="27"/>
        </w:rPr>
        <w:t xml:space="preserve">внебюджетные источники: </w:t>
      </w:r>
      <w:r>
        <w:rPr>
          <w:rStyle w:val="Style12"/>
          <w:rFonts w:cs="Liberation Serif" w:ascii="Liberation Serif" w:hAnsi="Liberation Serif"/>
          <w:b/>
          <w:sz w:val="27"/>
          <w:szCs w:val="27"/>
        </w:rPr>
        <w:t>0</w:t>
      </w:r>
      <w:r>
        <w:rPr>
          <w:rStyle w:val="Style12"/>
          <w:rFonts w:cs="Liberation Serif" w:ascii="Liberation Serif" w:hAnsi="Liberation Serif"/>
          <w:b/>
          <w:bCs/>
          <w:sz w:val="27"/>
          <w:szCs w:val="27"/>
        </w:rPr>
        <w:t>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в том числе: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2021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2022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2023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2024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2025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2026 год – 0,00</w:t>
      </w:r>
    </w:p>
    <w:p>
      <w:pPr>
        <w:pStyle w:val="Style20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 xml:space="preserve"> </w:t>
      </w:r>
      <w:r>
        <w:rPr>
          <w:rFonts w:cs="Liberation Serif"/>
          <w:sz w:val="27"/>
          <w:szCs w:val="27"/>
        </w:rPr>
        <w:t>2027 год – 0,00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sz w:val="28"/>
          <w:szCs w:val="28"/>
        </w:rPr>
        <w:t>«Развитие социально-экономического комплекса 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0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ab/>
        <w:t>2.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0"/>
        <w:ind w:left="0" w:right="0" w:firstLine="708"/>
        <w:jc w:val="both"/>
        <w:rPr>
          <w:rStyle w:val="Style12"/>
          <w:rFonts w:cs="Liberation Serif"/>
          <w:sz w:val="28"/>
          <w:szCs w:val="28"/>
        </w:rPr>
      </w:pPr>
      <w:r>
        <w:rPr/>
      </w:r>
    </w:p>
    <w:p>
      <w:pPr>
        <w:pStyle w:val="Style20"/>
        <w:ind w:left="0" w:right="0" w:firstLine="708"/>
        <w:jc w:val="both"/>
        <w:rPr>
          <w:rStyle w:val="Style12"/>
          <w:rFonts w:cs="Liberation Serif"/>
          <w:sz w:val="28"/>
          <w:szCs w:val="28"/>
        </w:rPr>
      </w:pPr>
      <w:r>
        <w:rPr/>
      </w:r>
    </w:p>
    <w:p>
      <w:pPr>
        <w:pStyle w:val="Style20"/>
        <w:suppressAutoHyphens w:val="true"/>
        <w:ind w:left="0" w:right="0" w:hanging="0"/>
        <w:jc w:val="both"/>
        <w:rPr/>
      </w:pPr>
      <w:r>
        <w:rPr>
          <w:rStyle w:val="Style12"/>
          <w:rFonts w:cs="Liberation Serif"/>
          <w:sz w:val="28"/>
          <w:szCs w:val="28"/>
        </w:rPr>
        <w:t>Глава</w:t>
      </w:r>
    </w:p>
    <w:p>
      <w:pPr>
        <w:pStyle w:val="Style20"/>
        <w:suppressAutoHyphens w:val="true"/>
        <w:ind w:left="0" w:right="0" w:hanging="0"/>
        <w:jc w:val="both"/>
        <w:rPr/>
      </w:pPr>
      <w:r>
        <w:rPr>
          <w:rStyle w:val="Style12"/>
          <w:rFonts w:cs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bidi="ar-SA" w:val="ru-RU" w:eastAsia="zh-CN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Style32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en-US" w:bidi="ar-SA" w:val="ru-RU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ru-RU" w:bidi="ar-SA" w:val="ru-RU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3</Pages>
  <Words>601</Words>
  <Characters>3378</Characters>
  <CharactersWithSpaces>4003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2022-01-19T03:53:00Z</dcterms:created>
  <dc:creator>Меньшенина Татьяна Борисовна</dc:creator>
  <dc:description/>
  <dc:language>ru-RU</dc:language>
  <cp:lastModifiedBy/>
  <cp:lastPrinted>2022-01-26T15:36:24Z</cp:lastPrinted>
  <dcterms:modified xsi:type="dcterms:W3CDTF">2022-01-26T15:38:14Z</dcterms:modified>
  <cp:revision>4</cp:revision>
  <dc:subject/>
  <dc:title> </dc:title>
</cp:coreProperties>
</file>