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/>
        <w:drawing>
          <wp:inline distT="0" distB="0" distL="0" distR="0">
            <wp:extent cx="352425" cy="609600"/>
            <wp:effectExtent l="0" t="0" r="0" b="0"/>
            <wp:docPr id="1" name="Изображение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1"/>
          <w:rFonts w:eastAsia="Arial Unicode MS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1"/>
          <w:rFonts w:eastAsia="Arial Unicode MS" w:ascii="Liberation Serif" w:hAnsi="Liberation Serif"/>
          <w:b/>
          <w:bCs/>
          <w:i w:val="false"/>
          <w:iCs w:val="false"/>
          <w:sz w:val="28"/>
          <w:szCs w:val="28"/>
        </w:rPr>
        <w:t>14</w:t>
      </w:r>
      <w:r>
        <w:rPr>
          <w:rStyle w:val="Style11"/>
          <w:rFonts w:eastAsia="Arial Unicode MS" w:ascii="Liberation Serif" w:hAnsi="Liberation Serif"/>
          <w:b/>
          <w:bCs/>
          <w:i w:val="false"/>
          <w:iCs w:val="false"/>
          <w:sz w:val="28"/>
          <w:szCs w:val="28"/>
        </w:rPr>
        <w:t xml:space="preserve">.10.2021  № </w:t>
      </w:r>
      <w:r>
        <w:rPr>
          <w:rStyle w:val="Style11"/>
          <w:rFonts w:eastAsia="Arial Unicode MS" w:ascii="Liberation Serif" w:hAnsi="Liberation Serif"/>
          <w:b/>
          <w:bCs/>
          <w:i w:val="false"/>
          <w:iCs w:val="false"/>
          <w:sz w:val="28"/>
          <w:szCs w:val="28"/>
        </w:rPr>
        <w:t>7</w:t>
      </w:r>
      <w:r>
        <w:rPr>
          <w:rStyle w:val="Style11"/>
          <w:rFonts w:eastAsia="Arial Unicode MS" w:ascii="Liberation Serif" w:hAnsi="Liberation Serif"/>
          <w:b/>
          <w:bCs/>
          <w:i w:val="false"/>
          <w:iCs w:val="false"/>
          <w:sz w:val="28"/>
          <w:szCs w:val="28"/>
        </w:rPr>
        <w:t>7</w:t>
      </w:r>
      <w:r>
        <w:rPr>
          <w:rStyle w:val="Style11"/>
          <w:rFonts w:eastAsia="Arial Unicode MS" w:ascii="Liberation Serif" w:hAnsi="Liberation Serif"/>
          <w:b/>
          <w:bCs/>
          <w:i w:val="false"/>
          <w:iCs w:val="false"/>
          <w:sz w:val="28"/>
          <w:szCs w:val="28"/>
        </w:rPr>
        <w:t>1</w:t>
      </w:r>
    </w:p>
    <w:p>
      <w:pPr>
        <w:pStyle w:val="Style21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охраняемых законом ценностям при осуществлении муниципального лесного контроля на территории </w:t>
      </w:r>
    </w:p>
    <w:p>
      <w:pPr>
        <w:pStyle w:val="Style21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Камышловского городского округа на 2022 год</w:t>
      </w:r>
    </w:p>
    <w:p>
      <w:pPr>
        <w:pStyle w:val="Style21"/>
        <w:widowControl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Style21"/>
        <w:widowControl/>
        <w:tabs>
          <w:tab w:val="clear" w:pos="708"/>
        </w:tabs>
        <w:autoSpaceDE w:val="false"/>
        <w:ind w:left="-142" w:right="0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Лесным кодексом Российской Федерации,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с целью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нарушениями обязательных требований, требований, установленных муниципальными правовыми актами, Положением о муниципальном лесном контроле на территории Камышловского городского округа, утвержденным решением Думой Камышловского городского округа от 15.09.2021 № 643 руководствуясь Уставом Камышловского городского округа, администрация Камышловского городского округа</w:t>
      </w:r>
    </w:p>
    <w:p>
      <w:pPr>
        <w:pStyle w:val="Style21"/>
        <w:widowControl/>
        <w:tabs>
          <w:tab w:val="clear" w:pos="708"/>
        </w:tabs>
        <w:autoSpaceDE w:val="false"/>
        <w:ind w:left="-142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7"/>
        <w:widowControl/>
        <w:numPr>
          <w:ilvl w:val="0"/>
          <w:numId w:val="2"/>
        </w:numPr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программу профилактики рисков причинения вреда (ущерба) охраняемых законом ценностям при осуществлении муниципального лесного контроля на территории Камышловского городского округа на 2022 год (далее – Программа) (прилагается).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9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27"/>
        <w:widowControl/>
        <w:numPr>
          <w:ilvl w:val="0"/>
          <w:numId w:val="0"/>
        </w:numPr>
        <w:autoSpaceDE w:val="false"/>
        <w:ind w:left="72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Начальнику организационного отдела администрации Камышловского городского округа Сенцовой Е.В. направить настоящее постановление для опубликования в газете «Камышловские известия» и разместить на официальном сайте администрации Камышловского городского округа в сети «Интернет».</w:t>
      </w:r>
    </w:p>
    <w:p>
      <w:pPr>
        <w:pStyle w:val="Style27"/>
        <w:widowControl/>
        <w:numPr>
          <w:ilvl w:val="0"/>
          <w:numId w:val="0"/>
        </w:numPr>
        <w:autoSpaceDE w:val="false"/>
        <w:ind w:left="72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Style w:val="Style11"/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21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Style w:val="Style11"/>
          <w:rFonts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Приложение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/>
          <w:b/>
          <w:sz w:val="28"/>
          <w:szCs w:val="28"/>
        </w:rPr>
        <w:t>УТВЕРЖДЕНА</w:t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2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1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14.10.2021 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771</w:t>
      </w:r>
    </w:p>
    <w:p>
      <w:pPr>
        <w:pStyle w:val="Style2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профилактики рисков причинения вреда (ущерба) охраняемых законом ценностям при осуществлении муниципального лесного контроля 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Камышловского городского округа на 2022 год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7"/>
        <w:numPr>
          <w:ilvl w:val="0"/>
          <w:numId w:val="3"/>
        </w:numPr>
        <w:ind w:left="0" w:right="0" w:firstLine="36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Анализ текущего состояния муниципального лесного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вреда.</w:t>
      </w:r>
    </w:p>
    <w:p>
      <w:pPr>
        <w:pStyle w:val="Style27"/>
        <w:ind w:left="36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Предметом муниципального лесного контроля является проверка соблюдения юридическими лицами и индивидуальными предпринимателями (лесопользователями) требований, установленных федеральным законодательством, законодательством Свердловской области и муниципальными правовыми актами Камышловского городского округа в сфере лесных отношений, требований по использованию, охране, защите, воспроизводству лесов. Реестр субъектов по данному виду муниципального контроля размещен на официальном сайте администрации Камышловского городского округа в сети Интернет (http://gorod-kamyshlov.ru) в разделе Муниципальный контроль// Реестры подконтрольных субъектов, в настоящее время Реестр содержит 1 подконтрольный субъект. </w:t>
      </w:r>
    </w:p>
    <w:p>
      <w:pPr>
        <w:pStyle w:val="Style21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период с 2016 по 2021 годы в соответствии со статьями 26.1., 26.2.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к субъектам малого и среднего предпринимательства, не проводятся. На 2022 год проведение проверок в рамках осуществления муниципального лесного контроля не запланировано.</w:t>
      </w:r>
    </w:p>
    <w:p>
      <w:pPr>
        <w:pStyle w:val="Style21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предпринимателей, размещены перечни и тексты правовых актов, содержащих требования, оценка соблюдения которых, является предметом муниципального лесного контроля, реестр подконтрольных субъектов, результаты проведенных проверок, обобщение практики осуществления муниципального контроля за предыдущие годы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субъектов, в случаях внесения изменений в действующие нормативные акты в перечни правовых актов вносятся соответствующие поправки.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Камышловского городского округа, повышение общего уровня правовой культуры. </w:t>
      </w:r>
    </w:p>
    <w:p>
      <w:pPr>
        <w:pStyle w:val="Style21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Несоблюдение требований лесного законодательства влечет за собой риск причинения вреда жизни, здоровья граждан, вреда животным, растениям, окружающей среде, возникновения чрезвычайных ситуаций природного и техногенного характера, а также ухудшения санитарного состояния в городских лесах.</w:t>
      </w:r>
    </w:p>
    <w:p>
      <w:pPr>
        <w:pStyle w:val="Style21"/>
        <w:ind w:left="0" w:righ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7"/>
        <w:numPr>
          <w:ilvl w:val="0"/>
          <w:numId w:val="3"/>
        </w:numPr>
        <w:ind w:left="0" w:right="0" w:firstLine="36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Цели и задачи реализации программы профилактики рисков причинения вреда (ущерба) охраняемых законом ценностям при осуществлении муниципального лесного контроля на территории Камышловского городского округа на 2022 год.</w:t>
      </w:r>
    </w:p>
    <w:p>
      <w:pPr>
        <w:pStyle w:val="Style27"/>
        <w:ind w:left="36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Настоящая программа разработана на 2022 год,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Целями профилактической работы являются: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установленных требований;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снижение административной нагрузки на подконтрольные субъекты;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создание у подконтрольных субъектов мотивации к добросовестному поведению;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снижение уровня ущерба, причиняемого охраняемым законом ценностям.</w:t>
      </w:r>
    </w:p>
    <w:p>
      <w:pPr>
        <w:pStyle w:val="Style21"/>
        <w:ind w:left="0" w:right="0" w:firstLine="567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>
      <w:pPr>
        <w:pStyle w:val="Style21"/>
        <w:ind w:left="0" w:right="0" w:firstLine="567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>
      <w:pPr>
        <w:pStyle w:val="Style21"/>
        <w:ind w:left="0" w:right="0" w:firstLine="567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повышение прозрачности системы контрольно-надзорной деятельности.</w:t>
      </w:r>
    </w:p>
    <w:p>
      <w:pPr>
        <w:pStyle w:val="Style21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Задачами профилактической работы являются</w:t>
      </w:r>
    </w:p>
    <w:p>
      <w:pPr>
        <w:pStyle w:val="Style21"/>
        <w:ind w:left="0" w:right="0" w:firstLine="567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pStyle w:val="Style21"/>
        <w:ind w:left="0" w:right="0" w:firstLine="567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>
      <w:pPr>
        <w:pStyle w:val="Style21"/>
        <w:ind w:left="0" w:right="0" w:firstLine="567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>
      <w:pPr>
        <w:pStyle w:val="Style21"/>
        <w:ind w:left="0" w:right="0" w:firstLine="567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Style21"/>
        <w:ind w:left="0" w:right="0" w:firstLine="567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снижение издержек контрольно-надзорной деятельности и административной нагрузки на контролируемых лиц.</w:t>
      </w:r>
    </w:p>
    <w:p>
      <w:pPr>
        <w:pStyle w:val="Style2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7"/>
        <w:numPr>
          <w:ilvl w:val="0"/>
          <w:numId w:val="3"/>
        </w:numPr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Перечень профилактических мероприятий, сроки (периодичность) их проведения.</w:t>
      </w:r>
    </w:p>
    <w:p>
      <w:pPr>
        <w:pStyle w:val="Style27"/>
        <w:ind w:left="360" w:right="0"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Срок реализации программы: 2022 год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осуществлении муниципального лесного контроля могут проводиться следующие виды профилактических мероприятий:</w:t>
      </w:r>
    </w:p>
    <w:p>
      <w:pPr>
        <w:pStyle w:val="Style27"/>
        <w:ind w:left="0" w:righ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Информирование;</w:t>
      </w:r>
    </w:p>
    <w:p>
      <w:pPr>
        <w:pStyle w:val="Style27"/>
        <w:ind w:left="0" w:righ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Обобщение правоприменительной практики;</w:t>
      </w:r>
    </w:p>
    <w:p>
      <w:pPr>
        <w:pStyle w:val="Style27"/>
        <w:ind w:left="0" w:righ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Объявление предостережения;</w:t>
      </w:r>
    </w:p>
    <w:p>
      <w:pPr>
        <w:pStyle w:val="Style27"/>
        <w:ind w:left="0" w:righ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Консультирование;</w:t>
      </w:r>
    </w:p>
    <w:p>
      <w:pPr>
        <w:pStyle w:val="Style27"/>
        <w:ind w:left="0" w:right="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Профилактический визит.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Информирование осуществляется посредством размещения соответствующих сведений на официальных сайтах администрации Камышловского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Style27"/>
        <w:ind w:left="0" w:right="0" w:firstLine="70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Обобщение правоприменительной практики осуществляется посредством подготовки контрольным органом - </w:t>
      </w:r>
      <w:r>
        <w:rPr>
          <w:rStyle w:val="Pta0000004"/>
          <w:rFonts w:cs="Liberation Serif" w:ascii="Liberation Serif" w:hAnsi="Liberation Serif"/>
          <w:sz w:val="28"/>
          <w:szCs w:val="28"/>
        </w:rPr>
        <w:t>Комитетом по управлению имуществом и земельным ресурсам администрации Камышловского городского округа (далее-контрольный орган),</w:t>
      </w:r>
      <w:r>
        <w:rPr>
          <w:rStyle w:val="Style11"/>
          <w:rFonts w:ascii="Liberation Serif" w:hAnsi="Liberation Serif"/>
          <w:sz w:val="28"/>
          <w:szCs w:val="28"/>
        </w:rPr>
        <w:t xml:space="preserve"> ежегодного доклада ‎(далее – доклад о правоприменительной практике), который утверждается приказами (распоряжениями) руководителей контрольных органов и ежегодно до 1 апреля года, следующего за отчетным, размещается на официальных сайтах Камышловского городского округа в сети «Интернет».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Предостережение о недопустимости нарушения обязательных требований с предложением принять меры по обеспечению соблюдения обязательных требований (далее – предостережение) объявляется контролируемому лицу при наличии у уполномоченного лица, осуществляющего муниципальный лесной контроль,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документа, подписанного квалифицированной электронной подписью, любым доступным способом, позволяющим отследить получение предостережения контролируемым лицом.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Учет предостережений осуществляется контрольным органом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вышеуказанной информации.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Контролируемое лицо в течение 15 календарных дней с момента получения предостережения вправе подать в контрольный орган, объявивший предостережение, возражение в отношении указанного предостережения, содержащее следующие сведения: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контрольного органа, в который направляется возражение;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идентификационный номер налогоплательщика - юридического лица, индивидуального предпринимателя, гражданина;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дату и номер предостережения;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доводы, на основании которых контролируемое лицо не согласно с объявленным предостережением;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дату получения предостережения контролируемым лицом;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личную подпись и дату.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Контрольный орган в течение 30 календарных дней со дня регистрации возражения: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обеспечивают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при необходимости запрашивают документы и материалы в других государственных органах, органах местного самоуправления и у иных лиц;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по результатам рассмотрения возражения принимают меры, направленные на восстановление или защиту нарушенных прав и законных интересов контролируемого лица;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направляют письменный ответ по существу поставленных в возражении вопросов.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Повторно направленные возражения по тем же основаниям не рассматриваются контрольным органом.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рассмотрения возражения контрольный орган принимает одно из следующих решений: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удовлетворяет возражение в форме отмены объявленного предостережения;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отказывает в удовлетворении возражения.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осуществляется по обращениям контролируемых лиц и их представителей.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ходе консультирования даются разъяснения по вопросам, связанным с организацией и осуществлением муниципального лесного контроля.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осуществляется без взимания платы.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может осуществляться уполномоченными лицами контрольного органа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осуществляется по следующим вопросам: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разъяснение положений нормативных правовых актов, регламентирующих порядок осуществления муниципального лесного контроля;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обжалования решений контрольных органов, действий (бездействия) уполномоченных лиц контрольного органа.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однотипным обращениям контролируемых лиц и их представителей по указанным вопросам, консультирование осуществляется посредством размещения на официальном сайте Камышловского городского округа в сети «Интернет» письменного разъяснения, подписанного уполномоченным должностным лицом контрольного органа.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официальных сайтах Камышловского городского округа в сети «Интернет».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Время консультирования при личном обращении составляет 10 минут.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Консультирование контролируемых лиц при личном обращении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Контролируемым лицам, желающим получить консультацию по вопросам, связанным с организацией и осуществлением муниципального лесного контроля, предоставляется право ее получения в порядке очереди.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ожидания в очереди при личном обращении контролируемых лиц не должен превышать 15 минут.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Уполномоченное лицо, осуществляющее 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(осуществление разъяснений, предоставление информации) по поставленному вопросу и порядке обращения в этот орган.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консультировании в письменной форме должны соблюдаться требования, установленные Федеральным законом от 02.05.2006 № 59-ФЗ «О порядке рассмотрения обращений граждан Российской Федерации».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 законом «О государственном контроле (надзоре) и муниципальном контроле в Российской Федерации».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в письменной форме указанных выше.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Учет консультирований осуществляется контрольным органом путем ведения журнала учета консультирований (на бумажном носителе либо в электронном виде), по форме, обеспечивающей учет вышеуказанной информации.</w:t>
      </w:r>
    </w:p>
    <w:p>
      <w:pPr>
        <w:pStyle w:val="Style27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‎о его полномочиях, а также об особенностях организации и осуществления муниципального контроля, проводимого в отношении объекта контроля.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Профилактический визит проводится в порядке и объеме, определенном статьей 52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ходе профилактического визита может осуществляться консультирование контролируемого лица в порядке, установленном пунктом 22 настоящего Положения, а также статьей 50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Профилактический визит проводится по согласованию с контролируемым лицом.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Обязательный профилактический визит проводится в отношении: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объектов контроля, отнесенных к категории значительного риска;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контролируемых лиц, впервые приступающих к осуществлению использования лесов и (или) лесных участков, части лесных участков.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проведении обязательного профилактического визита контролируемое лицо уведомляется контрольным органом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порядке, установленном частью 4 статьи 21 Федерального закона «О государственном контроле (надзоре) и муниципальном контроле в Российской Федерации».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проведения профилактического визита (обязательного профилактического визита) не может превышать один рабочий день.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Профилактический визит (обязательный профилактический визит) может проводится до начала проведения плановой проверки, но не менее чем за 20 рабочих дней до начала проведения плановой проверки.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Style27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7"/>
        <w:numPr>
          <w:ilvl w:val="0"/>
          <w:numId w:val="3"/>
        </w:numPr>
        <w:ind w:left="0" w:right="0" w:firstLine="360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Показатели результативности и эффективности программы</w:t>
      </w:r>
      <w:r>
        <w:rPr>
          <w:rStyle w:val="Style11"/>
          <w:rFonts w:ascii="Liberation Serif" w:hAnsi="Liberation Serif"/>
          <w:b/>
        </w:rPr>
        <w:t xml:space="preserve"> </w:t>
      </w:r>
      <w:r>
        <w:rPr>
          <w:rStyle w:val="Style11"/>
          <w:rFonts w:ascii="Liberation Serif" w:hAnsi="Liberation Serif"/>
          <w:b/>
          <w:sz w:val="28"/>
          <w:szCs w:val="28"/>
        </w:rPr>
        <w:t>профилактики рисков причинения вреда (ущерба) охраняемых законом ценностям при осуществлении муниципального лесного контроля на территории Камышловского городского округа на 2022 год</w:t>
      </w:r>
    </w:p>
    <w:p>
      <w:pPr>
        <w:pStyle w:val="Style27"/>
        <w:ind w:left="36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268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167"/>
        <w:gridCol w:w="2519"/>
      </w:tblGrid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Значение показателя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проверок, по итогам которых нарушений не выявлено, по отношению к общему количеству проведенных проверок в отчетном периоде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значения по сравнению с предыдущим отчетных периодом, (%)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профилактических мероприятий, указанных в разделе 2 Программы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90%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Информированность подконтрольных субъектов о содержании обязательных требований, требований, установленных муниципальными правовыми актами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80% опрошенных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поступивших от подконтрольных субъектов жалоб по фактам недопустимости информации об установленных обязательных требованиях, требованиях, установленных муниципальными правовыми актами по осуществлению муниципального лесного контроля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значения по сравнению с предыдущим отчетным периодом, (%)</w:t>
            </w:r>
          </w:p>
        </w:tc>
      </w:tr>
    </w:tbl>
    <w:p>
      <w:pPr>
        <w:pStyle w:val="Style27"/>
        <w:ind w:left="36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7"/>
        <w:ind w:left="360" w:right="0" w:firstLine="34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Показатели результативности и эффективности мероприятия Программы за отчетный период размещаются на официальном сайте Камышловского городского округа в сети «Интернет».</w:t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Приложение к Программе</w:t>
      </w:r>
    </w:p>
    <w:p>
      <w:pPr>
        <w:pStyle w:val="Style21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Перечень профилактических мероприятий, </w:t>
      </w:r>
    </w:p>
    <w:p>
      <w:pPr>
        <w:pStyle w:val="Style2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сроки (периодичность) их проведения</w:t>
      </w:r>
    </w:p>
    <w:p>
      <w:pPr>
        <w:pStyle w:val="Style21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tbl>
      <w:tblPr>
        <w:tblW w:w="96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536"/>
        <w:gridCol w:w="2628"/>
        <w:gridCol w:w="1946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№</w:t>
            </w:r>
            <w:r>
              <w:rPr>
                <w:rFonts w:eastAsia="Calibri"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Ответственный исполнитель- контрольный орган, уполномоченный на проведения муниципального лесного контроля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Срок реализации</w:t>
            </w:r>
          </w:p>
        </w:tc>
      </w:tr>
      <w:tr>
        <w:trPr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center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Информирование (размещения соответствующих сведений на официальных сайтах администрации Камышловского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постоянно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Обобщение правоприменительной практики</w:t>
            </w:r>
          </w:p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(обобщение практики осуществления муниципального лесного контроля и размещение на официальном сайте Камышловского городского округа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нарушений)</w:t>
            </w:r>
          </w:p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Комитет по управлению имуществом и земельным ресурсам администрации Камышловского городского окру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Объявление предостережения (при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Комитет по управлению имуществом и земельным ресурсам администрации Камышловского городского окру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в течении года по мере необходимости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Консультирование по обращениям контролируемых лиц и их представителей</w:t>
            </w:r>
          </w:p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Комитет по управлению имуществом и земельным ресурсам администрации Камышловского городского окру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постоянно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Профилактический визит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ind w:left="0" w:right="0" w:hanging="0"/>
              <w:jc w:val="both"/>
              <w:rPr>
                <w:rFonts w:ascii="Liberation Serif" w:hAnsi="Liberation Serif" w:eastAsia="Calibri"/>
                <w:sz w:val="22"/>
                <w:szCs w:val="22"/>
              </w:rPr>
            </w:pPr>
            <w:r>
              <w:rPr>
                <w:rFonts w:eastAsia="Calibri" w:ascii="Liberation Serif" w:hAnsi="Liberation Serif"/>
                <w:sz w:val="22"/>
                <w:szCs w:val="22"/>
              </w:rPr>
              <w:t>в течении года по мере необходимости</w:t>
            </w:r>
          </w:p>
        </w:tc>
      </w:tr>
    </w:tbl>
    <w:p>
      <w:pPr>
        <w:pStyle w:val="Style27"/>
        <w:ind w:left="360" w:right="0" w:firstLine="34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549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Courier Std">
    <w:charset w:val="cc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1"/>
    <w:next w:val="Style21"/>
    <w:qFormat/>
    <w:pPr>
      <w:keepNext w:val="true"/>
      <w:widowControl/>
      <w:numPr>
        <w:ilvl w:val="0"/>
        <w:numId w:val="1"/>
      </w:numPr>
      <w:suppressAutoHyphens w:val="true"/>
      <w:overflowPunct w:val="false"/>
      <w:jc w:val="both"/>
      <w:outlineLvl w:val="0"/>
    </w:pPr>
    <w:rPr>
      <w:sz w:val="28"/>
      <w:szCs w:val="28"/>
    </w:rPr>
  </w:style>
  <w:style w:type="paragraph" w:styleId="3">
    <w:name w:val="Heading 3"/>
    <w:basedOn w:val="Style21"/>
    <w:next w:val="Style21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21"/>
    <w:next w:val="Style21"/>
    <w:qFormat/>
    <w:pPr>
      <w:keepNext w:val="true"/>
      <w:widowControl/>
      <w:numPr>
        <w:ilvl w:val="3"/>
        <w:numId w:val="1"/>
      </w:numPr>
      <w:suppressAutoHyphens w:val="true"/>
      <w:jc w:val="both"/>
      <w:outlineLvl w:val="3"/>
    </w:pPr>
    <w:rPr>
      <w:b/>
      <w:bCs/>
      <w:sz w:val="22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Pt000003">
    <w:name w:val="pt-000003"/>
    <w:basedOn w:val="Style11"/>
    <w:qFormat/>
    <w:rPr/>
  </w:style>
  <w:style w:type="character" w:styleId="Pta0000004">
    <w:name w:val="pt-a0-000004"/>
    <w:basedOn w:val="Style11"/>
    <w:qFormat/>
    <w:rPr/>
  </w:style>
  <w:style w:type="character" w:styleId="Style13">
    <w:name w:val="Текст сноски Знак"/>
    <w:basedOn w:val="Style11"/>
    <w:qFormat/>
    <w:rPr/>
  </w:style>
  <w:style w:type="character" w:styleId="Style14">
    <w:name w:val="Знак сноски"/>
    <w:rPr>
      <w:position w:val="7"/>
      <w:sz w:val="13"/>
    </w:rPr>
  </w:style>
  <w:style w:type="character" w:styleId="Style15">
    <w:name w:val="Привязка сноски"/>
    <w:qFormat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Привязка концевой сноски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0">
    <w:name w:val="Body Text"/>
    <w:basedOn w:val="Style21"/>
    <w:pPr>
      <w:suppressAutoHyphens w:val="true"/>
      <w:spacing w:before="0" w:after="12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1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paragraph" w:styleId="Style24">
    <w:name w:val="Body Text Indent"/>
    <w:basedOn w:val="Style21"/>
    <w:pPr>
      <w:widowControl/>
      <w:tabs>
        <w:tab w:val="clear" w:pos="708"/>
        <w:tab w:val="left" w:pos="4395" w:leader="none"/>
      </w:tabs>
      <w:suppressAutoHyphens w:val="true"/>
      <w:ind w:left="0" w:right="0" w:firstLine="709"/>
      <w:jc w:val="both"/>
    </w:pPr>
    <w:rPr>
      <w:sz w:val="28"/>
    </w:rPr>
  </w:style>
  <w:style w:type="paragraph" w:styleId="Style25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Текст выноски"/>
    <w:basedOn w:val="Style2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21"/>
    <w:qFormat/>
    <w:pPr>
      <w:widowControl/>
      <w:suppressAutoHyphens w:val="true"/>
    </w:pPr>
    <w:rPr>
      <w:sz w:val="22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7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ourier Std" w:hAnsi="Courier Std" w:cs="Courier Std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8">
    <w:name w:val="Текст сноски"/>
    <w:basedOn w:val="Style21"/>
    <w:qFormat/>
    <w:pPr>
      <w:widowControl/>
      <w:suppressAutoHyphens w:val="false"/>
      <w:textAlignment w:val="auto"/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354</TotalTime>
  <Application>LibreOffice/6.3.4.2$Windows_X86_64 LibreOffice_project/60da17e045e08f1793c57c00ba83cdfce946d0aa</Application>
  <Pages>11</Pages>
  <Words>2532</Words>
  <CharactersWithSpaces>22739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2020-01-20T04:55:00Z</dcterms:created>
  <dc:creator>Катя</dc:creator>
  <dc:description/>
  <dc:language>ru-RU</dc:language>
  <cp:lastModifiedBy/>
  <cp:lastPrinted>2021-10-14T16:40:43Z</cp:lastPrinted>
  <dcterms:modified xsi:type="dcterms:W3CDTF">2021-10-14T16:41:15Z</dcterms:modified>
  <cp:revision>37</cp:revision>
  <dc:subject/>
  <dc:title> </dc:title>
</cp:coreProperties>
</file>