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header2.xml" ContentType="application/vnd.openxmlformats-officedocument.wordprocessingml.header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spacing w:lineRule="auto" w:line="240" w:before="0" w:after="0"/>
        <w:ind w:left="0" w:right="0" w:firstLine="10065"/>
        <w:jc w:val="center"/>
        <w:rPr>
          <w:rFonts w:ascii="Liberation Serif;Times New Roman" w:hAnsi="Liberation Serif;Times New Roman" w:cs="Liberation Serif;Times New Roman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</w:rPr>
      </w:r>
      <w:bookmarkStart w:id="0" w:name="__DdeLink__14490_1400332189"/>
      <w:bookmarkStart w:id="1" w:name="__DdeLink__14490_1400332189"/>
      <w:bookmarkEnd w:id="1"/>
    </w:p>
    <w:p>
      <w:pPr>
        <w:pStyle w:val="Normal"/>
        <w:bidi w:val="0"/>
        <w:spacing w:lineRule="auto" w:line="240" w:before="0" w:after="0"/>
        <w:jc w:val="center"/>
        <w:rPr>
          <w:rFonts w:ascii="Liberation Serif;Times New Roman" w:hAnsi="Liberation Serif;Times New Roman" w:cs="Liberation Serif;Times New Roman"/>
          <w:b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sz w:val="28"/>
          <w:szCs w:val="28"/>
        </w:rPr>
        <w:t xml:space="preserve">План мероприятий («дорожная карта») по содействию развитию конкуренции </w:t>
      </w:r>
    </w:p>
    <w:p>
      <w:pPr>
        <w:pStyle w:val="Normal"/>
        <w:bidi w:val="0"/>
        <w:spacing w:lineRule="auto" w:line="240" w:before="0" w:after="0"/>
        <w:jc w:val="center"/>
        <w:rPr>
          <w:rFonts w:ascii="Liberation Serif;Times New Roman" w:hAnsi="Liberation Serif;Times New Roman" w:cs="Liberation Serif;Times New Roman"/>
          <w:b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sz w:val="28"/>
          <w:szCs w:val="28"/>
        </w:rPr>
        <w:t>в Камышловском городском округе, на период 2022-2025 годов</w:t>
      </w:r>
    </w:p>
    <w:p>
      <w:pPr>
        <w:pStyle w:val="Normal"/>
        <w:bidi w:val="0"/>
        <w:spacing w:lineRule="auto" w:line="240" w:before="0" w:after="0"/>
        <w:jc w:val="center"/>
        <w:rPr>
          <w:rFonts w:ascii="Liberation Serif;Times New Roman" w:hAnsi="Liberation Serif;Times New Roman" w:cs="Liberation Serif;Times New Roman"/>
          <w:b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sz w:val="28"/>
          <w:szCs w:val="28"/>
        </w:rPr>
        <w:t xml:space="preserve"> </w:t>
      </w:r>
    </w:p>
    <w:p>
      <w:pPr>
        <w:pStyle w:val="Normal"/>
        <w:bidi w:val="0"/>
        <w:spacing w:lineRule="auto" w:line="240" w:before="0" w:after="0"/>
        <w:jc w:val="center"/>
        <w:rPr>
          <w:rFonts w:ascii="Liberation Serif;Times New Roman" w:hAnsi="Liberation Serif;Times New Roman" w:cs="Liberation Serif;Times New Roman"/>
          <w:b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sz w:val="28"/>
          <w:szCs w:val="28"/>
        </w:rPr>
        <w:t xml:space="preserve">отчет за </w:t>
      </w:r>
      <w:r>
        <w:rPr>
          <w:rFonts w:cs="Liberation Serif;Times New Roman" w:ascii="Liberation Serif;Times New Roman" w:hAnsi="Liberation Serif;Times New Roman"/>
          <w:b/>
          <w:sz w:val="28"/>
          <w:szCs w:val="28"/>
        </w:rPr>
        <w:t xml:space="preserve">1 полугодие </w:t>
      </w:r>
      <w:r>
        <w:rPr>
          <w:rFonts w:cs="Liberation Serif;Times New Roman" w:ascii="Liberation Serif;Times New Roman" w:hAnsi="Liberation Serif;Times New Roman"/>
          <w:b/>
          <w:sz w:val="28"/>
          <w:szCs w:val="28"/>
        </w:rPr>
        <w:t>202</w:t>
      </w:r>
      <w:r>
        <w:rPr>
          <w:rFonts w:cs="Liberation Serif;Times New Roman" w:ascii="Liberation Serif;Times New Roman" w:hAnsi="Liberation Serif;Times New Roman"/>
          <w:b/>
          <w:sz w:val="28"/>
          <w:szCs w:val="28"/>
        </w:rPr>
        <w:t>3</w:t>
      </w:r>
      <w:r>
        <w:rPr>
          <w:rFonts w:cs="Liberation Serif;Times New Roman" w:ascii="Liberation Serif;Times New Roman" w:hAnsi="Liberation Serif;Times New Roman"/>
          <w:b/>
          <w:sz w:val="28"/>
          <w:szCs w:val="28"/>
        </w:rPr>
        <w:t xml:space="preserve"> год</w:t>
      </w:r>
      <w:r>
        <w:rPr>
          <w:rFonts w:cs="Liberation Serif;Times New Roman" w:ascii="Liberation Serif;Times New Roman" w:hAnsi="Liberation Serif;Times New Roman"/>
          <w:b/>
          <w:sz w:val="28"/>
          <w:szCs w:val="28"/>
        </w:rPr>
        <w:t>а</w:t>
      </w:r>
    </w:p>
    <w:p>
      <w:pPr>
        <w:pStyle w:val="Normal"/>
        <w:bidi w:val="0"/>
        <w:spacing w:lineRule="auto" w:line="240" w:before="0" w:after="0"/>
        <w:jc w:val="center"/>
        <w:rPr>
          <w:rFonts w:ascii="Liberation Serif;Times New Roman" w:hAnsi="Liberation Serif;Times New Roman" w:cs="Liberation Serif;Times New Roman"/>
          <w:b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sz w:val="28"/>
          <w:szCs w:val="28"/>
        </w:rPr>
      </w:r>
    </w:p>
    <w:p>
      <w:pPr>
        <w:pStyle w:val="Normal"/>
        <w:bidi w:val="0"/>
        <w:spacing w:lineRule="auto" w:line="240" w:before="0" w:after="0"/>
        <w:jc w:val="center"/>
        <w:rPr/>
      </w:pPr>
      <w:r>
        <w:rPr>
          <w:rFonts w:cs="Liberation Serif;Times New Roman" w:ascii="Liberation Serif;Times New Roman" w:hAnsi="Liberation Serif;Times New Roman"/>
          <w:b/>
          <w:sz w:val="28"/>
          <w:szCs w:val="28"/>
        </w:rPr>
        <w:t xml:space="preserve">Мероприятия по содействию развитию конкуренции на товарных рынках </w:t>
      </w:r>
      <w:r>
        <w:rPr>
          <w:rFonts w:eastAsia="Calibri" w:cs="Liberation Serif;Times New Roman" w:ascii="Liberation Serif;Times New Roman" w:hAnsi="Liberation Serif;Times New Roman"/>
          <w:b/>
          <w:color w:val="auto"/>
          <w:sz w:val="28"/>
          <w:szCs w:val="28"/>
          <w:lang w:val="ru-RU" w:eastAsia="zh-CN" w:bidi="ar-SA"/>
        </w:rPr>
        <w:t>Камыш</w:t>
      </w:r>
      <w:r>
        <w:rPr>
          <w:rFonts w:eastAsia="Calibri" w:cs="Liberation Serif;Times New Roman" w:ascii="Liberation Serif;Times New Roman" w:hAnsi="Liberation Serif;Times New Roman"/>
          <w:b/>
          <w:color w:val="auto"/>
          <w:sz w:val="28"/>
          <w:szCs w:val="28"/>
          <w:lang w:val="ru-RU" w:eastAsia="zh-CN" w:bidi="ar-SA"/>
        </w:rPr>
        <w:t>л</w:t>
      </w:r>
      <w:r>
        <w:rPr>
          <w:rFonts w:eastAsia="Calibri" w:cs="Liberation Serif;Times New Roman" w:ascii="Liberation Serif;Times New Roman" w:hAnsi="Liberation Serif;Times New Roman"/>
          <w:b/>
          <w:color w:val="auto"/>
          <w:sz w:val="28"/>
          <w:szCs w:val="28"/>
          <w:lang w:val="ru-RU" w:eastAsia="zh-CN" w:bidi="ar-SA"/>
        </w:rPr>
        <w:t>овского городского округа</w:t>
      </w:r>
    </w:p>
    <w:p>
      <w:pPr>
        <w:pStyle w:val="Normal"/>
        <w:bidi w:val="0"/>
        <w:spacing w:lineRule="auto" w:line="240" w:before="0" w:after="0"/>
        <w:jc w:val="center"/>
        <w:rPr>
          <w:rFonts w:ascii="Liberation Serif;Times New Roman" w:hAnsi="Liberation Serif;Times New Roman" w:cs="Liberation Serif;Times New Roman"/>
          <w:b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b/>
          <w:sz w:val="24"/>
          <w:szCs w:val="24"/>
        </w:rPr>
      </w:r>
    </w:p>
    <w:tbl>
      <w:tblPr>
        <w:tblW w:w="15540" w:type="dxa"/>
        <w:jc w:val="left"/>
        <w:tblInd w:w="-40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3701"/>
        <w:gridCol w:w="3475"/>
        <w:gridCol w:w="859"/>
        <w:gridCol w:w="972"/>
        <w:gridCol w:w="958"/>
        <w:gridCol w:w="1062"/>
        <w:gridCol w:w="3776"/>
      </w:tblGrid>
      <w:tr>
        <w:trPr>
          <w:cantSplit w:val="true"/>
        </w:trPr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Номер строки</w:t>
            </w:r>
          </w:p>
        </w:tc>
        <w:tc>
          <w:tcPr>
            <w:tcW w:w="3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Результат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исполнения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мероприятий</w:t>
            </w:r>
          </w:p>
        </w:tc>
        <w:tc>
          <w:tcPr>
            <w:tcW w:w="3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3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Отчет о исполнении мероприятий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за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b/>
                <w:bCs/>
              </w:rPr>
            </w:pPr>
            <w:r>
              <w:rPr>
                <w:rFonts w:cs="Liberation Serif" w:ascii="Liberation Serif" w:hAnsi="Liberation Serif"/>
                <w:b/>
                <w:bCs/>
                <w:sz w:val="24"/>
                <w:szCs w:val="24"/>
              </w:rPr>
              <w:t>1</w:t>
            </w:r>
            <w:r>
              <w:rPr>
                <w:rFonts w:cs="Liberation Serif" w:ascii="Liberation Serif" w:hAnsi="Liberation Serif"/>
                <w:b/>
                <w:bCs/>
                <w:sz w:val="24"/>
                <w:szCs w:val="24"/>
              </w:rPr>
              <w:t xml:space="preserve"> полугодие 202</w:t>
            </w:r>
            <w:r>
              <w:rPr>
                <w:rFonts w:cs="Liberation Serif" w:ascii="Liberation Serif" w:hAnsi="Liberation Serif"/>
                <w:b/>
                <w:bCs/>
                <w:sz w:val="24"/>
                <w:szCs w:val="24"/>
              </w:rPr>
              <w:t>3</w:t>
            </w:r>
            <w:r>
              <w:rPr>
                <w:rFonts w:cs="Liberation Serif" w:ascii="Liberation Serif" w:hAnsi="Liberation Serif"/>
                <w:b/>
                <w:bCs/>
                <w:sz w:val="24"/>
                <w:szCs w:val="24"/>
              </w:rPr>
              <w:t xml:space="preserve"> года</w:t>
            </w:r>
          </w:p>
        </w:tc>
      </w:tr>
      <w:tr>
        <w:trPr>
          <w:cantSplit w:val="true"/>
        </w:trPr>
        <w:tc>
          <w:tcPr>
            <w:tcW w:w="7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3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34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2022 год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2023 год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2024 год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2025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год</w:t>
            </w:r>
          </w:p>
        </w:tc>
        <w:tc>
          <w:tcPr>
            <w:tcW w:w="37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23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25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2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5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6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7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8</w:t>
            </w:r>
          </w:p>
        </w:tc>
      </w:tr>
      <w:tr>
        <w:trPr>
          <w:trHeight w:val="23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bidi w:val="0"/>
              <w:snapToGrid w:val="false"/>
              <w:spacing w:lineRule="auto" w:line="240" w:before="0" w:after="0"/>
              <w:ind w:left="720" w:right="0" w:hanging="544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</w:r>
          </w:p>
        </w:tc>
        <w:tc>
          <w:tcPr>
            <w:tcW w:w="148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19" w:leader="none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cs="Liberation Serif;Times New Roman" w:ascii="Liberation Serif;Times New Roman" w:hAnsi="Liberation Serif;Times New Roman"/>
                <w:b/>
                <w:sz w:val="24"/>
                <w:szCs w:val="24"/>
              </w:rPr>
              <w:t xml:space="preserve">1. Рынок </w:t>
            </w:r>
            <w:r>
              <w:rPr>
                <w:rFonts w:cs="Liberation Serif;Times New Roman" w:ascii="Liberation Serif;Times New Roman" w:hAnsi="Liberation Serif;Times New Roman"/>
                <w:b/>
                <w:sz w:val="24"/>
                <w:szCs w:val="24"/>
                <w:lang w:eastAsia="ru-RU"/>
              </w:rPr>
              <w:t>универсальных ярмарок (в т.ч. с реализацией сельскохозяйственной продукции)</w:t>
            </w:r>
          </w:p>
        </w:tc>
      </w:tr>
      <w:tr>
        <w:trPr>
          <w:trHeight w:val="23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bidi w:val="0"/>
              <w:snapToGrid w:val="false"/>
              <w:spacing w:lineRule="auto" w:line="240" w:before="0" w:after="0"/>
              <w:ind w:left="720" w:right="0" w:hanging="544"/>
              <w:jc w:val="center"/>
              <w:rPr>
                <w:rFonts w:ascii="Liberation Serif;Times New Roman" w:hAnsi="Liberation Serif;Times New Roman" w:cs="Liberation Serif;Times New Roman"/>
                <w:b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sz w:val="24"/>
                <w:szCs w:val="24"/>
              </w:rPr>
            </w:r>
          </w:p>
        </w:tc>
        <w:tc>
          <w:tcPr>
            <w:tcW w:w="148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/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 xml:space="preserve">Описание текущей ситуации на рынке. </w:t>
            </w:r>
            <w:r>
              <w:rPr>
                <w:rFonts w:eastAsia="Times New Roman" w:cs="Liberation Serif;Times New Roman" w:ascii="Liberation Serif;Times New Roman" w:hAnsi="Liberation Serif;Times New Roman"/>
                <w:color w:val="000000"/>
                <w:sz w:val="24"/>
                <w:szCs w:val="24"/>
                <w:lang w:eastAsia="ru-RU"/>
              </w:rPr>
              <w:t xml:space="preserve">Розничная торговля – один из наиболее развитых сегментов потребительского рынка. Подавляющее большинство действующих организаций торговли относится к числу субъектов малого и среднего предпринимательства. В настоящее время на территории Камышловского городского округа действуют 381 объект торговли, 37 объектов общественного питания, 111 объектов бытового обслуживания населения. Обеспеченность торговыми площадями на 1000 жителей на 01.01.2022 г. составила </w:t>
            </w:r>
            <w:r>
              <w:rPr>
                <w:rFonts w:eastAsia="Times New Roman" w:cs="Liberation Serif;Times New Roman" w:ascii="Liberation Serif;Times New Roman" w:hAnsi="Liberation Serif;Times New Roman"/>
                <w:color w:val="000000"/>
                <w:sz w:val="24"/>
                <w:szCs w:val="24"/>
                <w:lang w:val="ru-RU" w:eastAsia="ru-RU" w:bidi="ar-SA"/>
              </w:rPr>
              <w:t>1196</w:t>
            </w:r>
            <w:r>
              <w:rPr>
                <w:rFonts w:eastAsia="Times New Roman" w:cs="Liberation Serif;Times New Roman" w:ascii="Liberation Serif;Times New Roman" w:hAnsi="Liberation Serif;Times New Roman"/>
                <w:color w:val="000000"/>
                <w:sz w:val="24"/>
                <w:szCs w:val="24"/>
                <w:lang w:eastAsia="ru-RU"/>
              </w:rPr>
              <w:t xml:space="preserve"> м2 (при нормативе, минимальной обеспеченности утвержденном Приказом Министерства агропромышленного комплекса и продовольствия Свердловской области № 290 от 16.07.2019 г.- 506,5 м2).</w:t>
            </w:r>
          </w:p>
          <w:p>
            <w:pPr>
              <w:pStyle w:val="Normal"/>
              <w:widowControl w:val="false"/>
              <w:shd w:val="clear" w:fill="FFFFFF"/>
              <w:bidi w:val="0"/>
              <w:spacing w:lineRule="auto" w:line="240" w:before="0" w:after="0"/>
              <w:jc w:val="left"/>
              <w:rPr>
                <w:rFonts w:ascii="Liberation Serif;Times New Roman" w:hAnsi="Liberation Serif;Times New Roman" w:eastAsia="Times New Roman" w:cs="Liberation Serif;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color w:val="000000"/>
                <w:sz w:val="24"/>
                <w:szCs w:val="24"/>
                <w:lang w:eastAsia="ru-RU"/>
              </w:rPr>
              <w:t>В сфере потребительского рынка на территории Камышловского городского округа работают крупные торговые сети:</w:t>
            </w:r>
          </w:p>
          <w:p>
            <w:pPr>
              <w:pStyle w:val="Normal"/>
              <w:widowControl w:val="false"/>
              <w:shd w:val="clear" w:fill="FFFFFF"/>
              <w:bidi w:val="0"/>
              <w:spacing w:lineRule="auto" w:line="240" w:before="0" w:after="0"/>
              <w:jc w:val="left"/>
              <w:rPr/>
            </w:pPr>
            <w:r>
              <w:rPr>
                <w:rFonts w:eastAsia="Times New Roman" w:cs="Liberation Serif;Times New Roman" w:ascii="Liberation Serif;Times New Roman" w:hAnsi="Liberation Serif;Times New Roman"/>
                <w:color w:val="000000"/>
                <w:sz w:val="24"/>
                <w:szCs w:val="24"/>
                <w:lang w:eastAsia="ru-RU"/>
              </w:rPr>
              <w:t>«Монетка», «Магнит», «Магнит - косметик», «Пятерочка», «DNS», «</w:t>
            </w:r>
            <w:r>
              <w:rPr>
                <w:rFonts w:eastAsia="Times New Roman" w:cs="Liberation Serif;Times New Roman" w:ascii="Liberation Serif;Times New Roman" w:hAnsi="Liberation Serif;Times New Roman"/>
                <w:color w:val="000000"/>
                <w:sz w:val="24"/>
                <w:szCs w:val="24"/>
                <w:lang w:val="ru-RU" w:eastAsia="ru-RU" w:bidi="ar-SA"/>
              </w:rPr>
              <w:t>RBT</w:t>
            </w:r>
            <w:r>
              <w:rPr>
                <w:rFonts w:eastAsia="Times New Roman" w:cs="Liberation Serif;Times New Roman" w:ascii="Liberation Serif;Times New Roman" w:hAnsi="Liberation Serif;Times New Roman"/>
                <w:color w:val="000000"/>
                <w:sz w:val="24"/>
                <w:szCs w:val="24"/>
                <w:lang w:eastAsia="ru-RU"/>
              </w:rPr>
              <w:t>», «Красное и белое», «Светофор», «Верный», «Доброцен»,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>В Камышловском городском округе с 2009 года традиционно проводятся сельскохозяйственные ярмарки. В соответствии с Планом организации и проведения сельскохозяйственные ярмарки проводятся ежеквартально. Принимают участие производители, занимающиеся выращиванием сельскохозяйственной продукции, в широком ассортименте реализуются продовольственные товары, продукты питания, продукция пчеловодства, кондитерские и хлебобулочные изделия, молочная продукция, а также изделия народных промыслов и многое другое. В 2021 году в связи с ситуацией по пандемии коронавируса проведено 3 ярмарки: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>23.05.2021 года состоялась Тихоновская ярмарка, в которой приняли участие 22 ярмарочника.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>05.09.2021 года состоялась Покровская ярмарка, в которой приняли участие 29 ярмарочников.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>19.12.2021 года состоялась Рождественская ярмарка, в которой приняли участие 41 участник.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>Проблемные вопросы.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>Появление торговых сетей на территории города ограничивает возможности развития малого предпринимательства.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>Методы решения.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>1. Проведение ярмарок для реализации сельхозпродукции товаропроизводителей.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Liberation Serif;Times New Roman" w:hAnsi="Liberation Serif;Times New Roman" w:cs="Liberation Serif;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  <w:sz w:val="24"/>
                <w:szCs w:val="24"/>
                <w:highlight w:val="white"/>
              </w:rPr>
              <w:t>2. Создание условий для наиболее полного удовлетворения спроса населения на потребительские товары и услуги.</w:t>
            </w:r>
          </w:p>
        </w:tc>
      </w:tr>
      <w:tr>
        <w:trPr>
          <w:trHeight w:val="23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bidi w:val="0"/>
              <w:snapToGrid w:val="false"/>
              <w:spacing w:lineRule="auto" w:line="240" w:before="0" w:after="0"/>
              <w:ind w:left="720" w:right="0" w:hanging="544"/>
              <w:jc w:val="center"/>
              <w:rPr>
                <w:rFonts w:ascii="Liberation Serif;Times New Roman" w:hAnsi="Liberation Serif;Times New Roman" w:cs="Liberation Serif;Times New Roman"/>
                <w:color w:val="000000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  <w:sz w:val="24"/>
                <w:szCs w:val="24"/>
              </w:rPr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hd w:val="clear" w:fill="FFFFFF"/>
              <w:bidi w:val="0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Формирование ежегодного плана организации и проведения ярмарок на территории Камышловского городского округа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hd w:val="clear" w:fill="FFFFFF"/>
              <w:bidi w:val="0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утверждение ежегодного плана организации и проведения ярмарок на территории муниципального образования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hd w:val="clear" w:fill="FFFFFF"/>
              <w:bidi w:val="0"/>
              <w:snapToGrid w:val="false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28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</w:t>
            </w:r>
          </w:p>
          <w:p>
            <w:pPr>
              <w:pStyle w:val="Normal"/>
              <w:widowControl w:val="false"/>
              <w:bidi w:val="0"/>
              <w:spacing w:lineRule="auto" w:line="228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28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</w:r>
          </w:p>
        </w:tc>
      </w:tr>
      <w:tr>
        <w:trPr>
          <w:trHeight w:val="23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bidi w:val="0"/>
              <w:snapToGrid w:val="false"/>
              <w:spacing w:lineRule="auto" w:line="240" w:before="0" w:after="0"/>
              <w:ind w:left="720" w:right="0" w:hanging="544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hd w:val="clear" w:fill="FFFFFF"/>
              <w:bidi w:val="0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Организация и проведение ярмарок на территории Камышловского городского округа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привлечение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сельскохозяйственных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организаций к реализации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сельскохозяйственной продукции на ярмарочных мероприятиях, количество ярмарок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hd w:val="clear" w:fill="FFFFFF"/>
              <w:bidi w:val="0"/>
              <w:snapToGrid w:val="false"/>
              <w:spacing w:lineRule="auto" w:line="240" w:before="0" w:after="0"/>
              <w:jc w:val="center"/>
              <w:rPr>
                <w:rFonts w:ascii="Liberation Serif;Times New Roman" w:hAnsi="Liberation Serif;Times New Roman" w:eastAsia="Times New Roman" w:cs="Liberation Serif;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4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4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4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28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 xml:space="preserve"> </w:t>
            </w: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 xml:space="preserve">Организовано и проведено </w:t>
            </w: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2</w:t>
            </w: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 xml:space="preserve"> универсальных ярмарки.</w:t>
            </w:r>
          </w:p>
          <w:p>
            <w:pPr>
              <w:pStyle w:val="Normal"/>
              <w:widowControl w:val="false"/>
              <w:bidi w:val="0"/>
              <w:spacing w:lineRule="auto" w:line="228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23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bidi w:val="0"/>
              <w:snapToGrid w:val="false"/>
              <w:spacing w:lineRule="auto" w:line="240" w:before="0" w:after="0"/>
              <w:ind w:left="720" w:right="0" w:hanging="544"/>
              <w:jc w:val="center"/>
              <w:rPr>
                <w:rFonts w:ascii="Liberation Serif;Times New Roman" w:hAnsi="Liberation Serif;Times New Roman" w:cs="Liberation Serif;Times New Roman"/>
                <w:b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sz w:val="24"/>
                <w:szCs w:val="24"/>
              </w:rPr>
            </w:r>
          </w:p>
        </w:tc>
        <w:tc>
          <w:tcPr>
            <w:tcW w:w="148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19" w:leader="none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cs="Liberation Serif;Times New Roman" w:ascii="Liberation Serif;Times New Roman" w:hAnsi="Liberation Serif;Times New Roman"/>
                <w:b/>
                <w:sz w:val="24"/>
                <w:szCs w:val="24"/>
              </w:rPr>
              <w:t xml:space="preserve">2. Рынок </w:t>
            </w:r>
            <w:r>
              <w:rPr>
                <w:rFonts w:cs="Liberation Serif;Times New Roman" w:ascii="Liberation Serif;Times New Roman" w:hAnsi="Liberation Serif;Times New Roman"/>
                <w:b/>
                <w:bCs/>
                <w:sz w:val="24"/>
                <w:szCs w:val="24"/>
                <w:lang w:eastAsia="ru-RU"/>
              </w:rPr>
              <w:t xml:space="preserve">дорожной </w:t>
            </w:r>
            <w:r>
              <w:rPr>
                <w:rFonts w:cs="Liberation Serif;Times New Roman" w:ascii="Liberation Serif;Times New Roman" w:hAnsi="Liberation Serif;Times New Roman"/>
                <w:b/>
                <w:sz w:val="24"/>
                <w:szCs w:val="24"/>
                <w:lang w:eastAsia="ru-RU"/>
              </w:rPr>
              <w:t>деятельности</w:t>
            </w:r>
            <w:r>
              <w:rPr>
                <w:rFonts w:cs="Liberation Serif;Times New Roman" w:ascii="Liberation Serif;Times New Roman" w:hAnsi="Liberation Serif;Times New Roman"/>
                <w:b/>
                <w:bCs/>
                <w:sz w:val="24"/>
                <w:szCs w:val="24"/>
                <w:lang w:eastAsia="ru-RU"/>
              </w:rPr>
              <w:t xml:space="preserve"> (за исключением проектирования)</w:t>
            </w:r>
          </w:p>
        </w:tc>
      </w:tr>
      <w:tr>
        <w:trPr>
          <w:trHeight w:val="23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bidi w:val="0"/>
              <w:snapToGrid w:val="false"/>
              <w:spacing w:lineRule="auto" w:line="240" w:before="0" w:after="0"/>
              <w:ind w:left="720" w:right="0" w:hanging="544"/>
              <w:jc w:val="center"/>
              <w:rPr>
                <w:rFonts w:ascii="Liberation Serif;Times New Roman" w:hAnsi="Liberation Serif;Times New Roman" w:cs="Liberation Serif;Times New Roman"/>
                <w:b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sz w:val="24"/>
                <w:szCs w:val="24"/>
              </w:rPr>
            </w:r>
          </w:p>
        </w:tc>
        <w:tc>
          <w:tcPr>
            <w:tcW w:w="148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>Обоснование выбора товарного рынка с описанием текущей ситуации.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 xml:space="preserve">В соответствии с </w:t>
            </w: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 xml:space="preserve">муниципальной программой «Развитие социально-экономического комплекса Камышловского городского округа </w:t>
            </w:r>
            <w:r>
              <w:rPr>
                <w:rFonts w:eastAsia="Calibri" w:cs="Liberation Serif;Times New Roman" w:ascii="Liberation Serif;Times New Roman" w:hAnsi="Liberation Serif;Times New Roman"/>
                <w:color w:val="auto"/>
                <w:sz w:val="24"/>
                <w:szCs w:val="24"/>
                <w:lang w:val="ru-RU" w:eastAsia="zh-CN" w:bidi="ar-SA"/>
              </w:rPr>
              <w:t>на</w:t>
            </w: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 xml:space="preserve"> 2021-2027 годы», утвержденной постановлением главы Камышловского ГО от 09.11.2018 г. № 965</w:t>
            </w: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 xml:space="preserve">, и уставом </w:t>
            </w: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муниципального казенного учреждения «Центр обеспечения деятельности администрации Камышловского городского округа»,</w:t>
            </w: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 xml:space="preserve"> полномочия муниципального заказчика по строительству, реконструкции, капитальному ремонту, ремонту и содержанию автомобильных дорог местного значения и иных связанных с этой деятельностью работ и услуг осуществляет МКУ </w:t>
            </w: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«Центр обеспечения деятельности администрации Камышловского городского округа»,</w:t>
            </w: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 xml:space="preserve"> в соответствии с законодательством Российской Федерации. По состоянию на 1 января 2022 года по контрактам, заключенным МКУ </w:t>
            </w: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«Центр обеспечения деятельности администрации Камышловского городского округа»</w:t>
            </w: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>, доля присутствия частного бизнеса в отрасли строительства, реконструкции, ремонтных работ, работ по содержанию автомобильных дорог составляет 100%.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>Основные проблемы.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/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eastAsia="Calibri" w:cs="Liberation Serif;Times New Roman" w:ascii="Liberation Serif;Times New Roman" w:hAnsi="Liberation Serif;Times New Roman"/>
                <w:color w:val="auto"/>
                <w:sz w:val="24"/>
                <w:szCs w:val="24"/>
                <w:lang w:val="ru-RU" w:eastAsia="ru-RU" w:bidi="ar-SA"/>
              </w:rPr>
              <w:t>Насыщенность рынка</w:t>
            </w: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>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>2. Ограниченное количество квалифицированных специалистов на рынке.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>3. Недостаточное финансирование дорожной деятельности относительно нормативной потребности.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>Методы решения.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>1. Увеличение финансирования дорожной деятельности за счет средств областного бюджета.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>2. Повышение качества оказания услуг.</w:t>
            </w:r>
          </w:p>
        </w:tc>
      </w:tr>
      <w:tr>
        <w:trPr>
          <w:trHeight w:val="23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bidi w:val="0"/>
              <w:snapToGrid w:val="false"/>
              <w:spacing w:lineRule="auto" w:line="240" w:before="0" w:after="0"/>
              <w:ind w:left="720" w:right="0" w:hanging="544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Мониторинг исполнения обязательств по заключенному контракту по выполнению работ, оказанию услуг и качества выполнения в соответствии с условиями контракта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доля завершенных контрактов с исполнением выполненных работ, оказанием услуг, соответствующие условиям контракта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100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100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100</w:t>
            </w:r>
          </w:p>
        </w:tc>
      </w:tr>
      <w:tr>
        <w:trPr>
          <w:trHeight w:val="23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bidi w:val="0"/>
              <w:snapToGrid w:val="false"/>
              <w:spacing w:lineRule="auto" w:line="240" w:before="0" w:after="0"/>
              <w:ind w:left="720" w:right="0" w:hanging="544"/>
              <w:jc w:val="center"/>
              <w:rPr>
                <w:rFonts w:ascii="Liberation Serif;Times New Roman" w:hAnsi="Liberation Serif;Times New Roman" w:cs="Liberation Serif;Times New Roman"/>
                <w:b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sz w:val="24"/>
                <w:szCs w:val="24"/>
              </w:rPr>
            </w:r>
          </w:p>
        </w:tc>
        <w:tc>
          <w:tcPr>
            <w:tcW w:w="148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19" w:leader="none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cs="Liberation Serif;Times New Roman" w:ascii="Liberation Serif;Times New Roman" w:hAnsi="Liberation Serif;Times New Roman"/>
                <w:b/>
                <w:sz w:val="24"/>
                <w:szCs w:val="24"/>
              </w:rPr>
              <w:t xml:space="preserve">3. Рынок </w:t>
            </w:r>
            <w:r>
              <w:rPr>
                <w:rFonts w:cs="Liberation Serif;Times New Roman" w:ascii="Liberation Serif;Times New Roman" w:hAnsi="Liberation Serif;Times New Roman"/>
                <w:b/>
                <w:sz w:val="24"/>
                <w:szCs w:val="24"/>
                <w:lang w:eastAsia="ru-RU"/>
              </w:rPr>
              <w:t>кадастровых</w:t>
            </w:r>
            <w:r>
              <w:rPr>
                <w:rFonts w:cs="Liberation Serif;Times New Roman" w:ascii="Liberation Serif;Times New Roman" w:hAnsi="Liberation Serif;Times New Roman"/>
                <w:b/>
                <w:sz w:val="24"/>
                <w:szCs w:val="24"/>
              </w:rPr>
              <w:t xml:space="preserve"> и землеустроительных работ</w:t>
            </w:r>
          </w:p>
        </w:tc>
      </w:tr>
      <w:tr>
        <w:trPr>
          <w:trHeight w:val="23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bidi w:val="0"/>
              <w:snapToGrid w:val="false"/>
              <w:spacing w:lineRule="auto" w:line="240" w:before="0" w:after="0"/>
              <w:ind w:left="720" w:right="0" w:hanging="544"/>
              <w:jc w:val="center"/>
              <w:rPr>
                <w:rFonts w:ascii="Liberation Serif;Times New Roman" w:hAnsi="Liberation Serif;Times New Roman" w:cs="Liberation Serif;Times New Roman"/>
                <w:b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sz w:val="24"/>
                <w:szCs w:val="24"/>
              </w:rPr>
            </w:r>
          </w:p>
        </w:tc>
        <w:tc>
          <w:tcPr>
            <w:tcW w:w="148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>Обоснование выбора товарного рынка с описанием текущей ситуации.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/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>Хозяйствующими субъектами на рынке кадастровых и землеустроительных работ являются кадастровые инженеры, осуществляющие кадастровую деятельность в качестве индивидуальных предпринимателей, и юридические лица, имеющие в штате кадастровых инженеров, осуществляющих кадастровую деятельность в качестве работников такого юридического лица на основании трудовых договоров (Федеральный закон от 24 июля 2007 года № 221-ФЗ «О кадастровой деятельности»), а также юридические лица, имеющие лицензию на осуществление геодезической и картографической деятельности и выполняющие землеустроительные работы (Федеральный закон от 18 июня 2001 года № 78-ФЗ «О землеустройстве», постановление Правительства Российской Федерации от 28.10.2016 № 1099 «О лицензировании геодезической и картографической</w:t>
            </w: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 xml:space="preserve"> </w:t>
            </w: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>деятельности»). В Камышловском городском округе на рынке кадастровых и землеустроительных работ осуществляют деятельность организации частного сектора.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/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>Администрацией Камышловского городского округа за 20</w:t>
            </w:r>
            <w:r>
              <w:rPr>
                <w:rFonts w:eastAsia="Calibri" w:cs="Liberation Serif;Times New Roman" w:ascii="Liberation Serif;Times New Roman" w:hAnsi="Liberation Serif;Times New Roman"/>
                <w:color w:val="000000"/>
                <w:sz w:val="24"/>
                <w:szCs w:val="24"/>
                <w:lang w:val="ru-RU" w:eastAsia="ru-RU" w:bidi="ar-SA"/>
              </w:rPr>
              <w:t>21</w:t>
            </w: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 xml:space="preserve"> год оформлено право собственности на 72 объекта недвижимого имущества.  Постановка на кадастровый учет и инвентаризация объектов была осуществлена на основании муниципальных контрактов, заключенных с филиалом СОГУП «Камышловское БТИ», что обеспечило высокое качество выполненных работ. В течении 2021 года было проведено межевание, постановка на кадастровый учет и регистрация права собственности на 21 земельный участок, расположенных на территории Камышловского городского округа.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>Проблемные вопросы.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>1. Низкое качество кадастровых работ.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>2. Наличие незарегистрированных объектов недвижимости.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>Методы решения.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>1. Повышение требований к исполнителям работ при заключении государственных контрактов.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>2. Выявление неоформленных объектов недвижимости в целях обеспечения проведения в отношении них кадастровых работ.</w:t>
            </w:r>
          </w:p>
        </w:tc>
      </w:tr>
      <w:tr>
        <w:trPr>
          <w:trHeight w:val="23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bidi w:val="0"/>
              <w:snapToGrid w:val="false"/>
              <w:spacing w:lineRule="auto" w:line="240" w:before="0" w:after="0"/>
              <w:ind w:left="720" w:right="0" w:hanging="544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Выявление незарегистрированных объектов недвижимости, находящихся в собственности муниципального образования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увеличение доли зарегистрированных объектов недвижимости, от общего числа объектов, находящихся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в собственности,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125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125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130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28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12</w:t>
            </w: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5</w:t>
            </w:r>
          </w:p>
        </w:tc>
      </w:tr>
      <w:tr>
        <w:trPr>
          <w:trHeight w:val="23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bidi w:val="0"/>
              <w:snapToGrid w:val="false"/>
              <w:spacing w:lineRule="auto" w:line="240" w:before="0" w:after="0"/>
              <w:ind w:left="720" w:right="0" w:hanging="544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28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Выявление собственников неучтенных, незарегистрированных объектов недвижимости (бесхозяйных объектов недвижимости)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/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 xml:space="preserve">сформирован перечень незарегистрированных объектов недвижимости, </w:t>
            </w:r>
            <w:r>
              <w:rPr>
                <w:rFonts w:eastAsia="Calibri" w:cs="Liberation Serif;Times New Roman" w:ascii="Liberation Serif;Times New Roman" w:hAnsi="Liberation Serif;Times New Roman"/>
                <w:color w:val="000000"/>
                <w:sz w:val="24"/>
                <w:szCs w:val="24"/>
                <w:lang w:val="ru-RU" w:eastAsia="zh-CN" w:bidi="ar-SA"/>
              </w:rPr>
              <w:t>процентов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100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100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100</w:t>
            </w:r>
          </w:p>
        </w:tc>
      </w:tr>
      <w:tr>
        <w:trPr>
          <w:trHeight w:val="23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bidi w:val="0"/>
              <w:snapToGrid w:val="false"/>
              <w:spacing w:lineRule="auto" w:line="240" w:before="0" w:after="0"/>
              <w:ind w:left="720" w:right="0" w:hanging="544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</w:r>
          </w:p>
        </w:tc>
        <w:tc>
          <w:tcPr>
            <w:tcW w:w="148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19" w:leader="none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cs="Liberation Serif;Times New Roman" w:ascii="Liberation Serif;Times New Roman" w:hAnsi="Liberation Serif;Times New Roman"/>
                <w:b/>
                <w:sz w:val="24"/>
                <w:szCs w:val="24"/>
              </w:rPr>
              <w:t xml:space="preserve">4. Рынок </w:t>
            </w:r>
            <w:r>
              <w:rPr>
                <w:rFonts w:cs="Liberation Serif;Times New Roman" w:ascii="Liberation Serif;Times New Roman" w:hAnsi="Liberation Serif;Times New Roman"/>
                <w:b/>
                <w:sz w:val="24"/>
                <w:szCs w:val="24"/>
                <w:lang w:eastAsia="ru-RU"/>
              </w:rPr>
              <w:t>теплоснабжения</w:t>
            </w:r>
            <w:r>
              <w:rPr>
                <w:rFonts w:cs="Liberation Serif;Times New Roman" w:ascii="Liberation Serif;Times New Roman" w:hAnsi="Liberation Serif;Times New Roman"/>
                <w:b/>
                <w:sz w:val="24"/>
                <w:szCs w:val="24"/>
              </w:rPr>
              <w:t xml:space="preserve"> (производство тепловой энергии)</w:t>
            </w:r>
          </w:p>
        </w:tc>
      </w:tr>
      <w:tr>
        <w:trPr>
          <w:trHeight w:val="818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bidi w:val="0"/>
              <w:snapToGrid w:val="false"/>
              <w:spacing w:lineRule="auto" w:line="240" w:before="0" w:after="0"/>
              <w:ind w:left="720" w:right="0" w:hanging="544"/>
              <w:jc w:val="center"/>
              <w:rPr>
                <w:rFonts w:ascii="Liberation Serif;Times New Roman" w:hAnsi="Liberation Serif;Times New Roman" w:cs="Liberation Serif;Times New Roman"/>
                <w:b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sz w:val="24"/>
                <w:szCs w:val="24"/>
              </w:rPr>
            </w:r>
          </w:p>
        </w:tc>
        <w:tc>
          <w:tcPr>
            <w:tcW w:w="148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>Обоснование выбора товарного рынка с описанием текущей ситуации. По состоянию на 1 января 2022 года на рынке теплоснабжения Камышловского городского округа осуществляют деятельность 5 теплоснабжающих организаций, из них 2 организации частной формы собственности (40% от общего количества организаций на рынке). Отпуск тепловой энергии теплоснабжающими организациями производится от 28 отопительных котельных суммарной мощностью 148,65 Гкал/час, из которых 7% от общего числа котельных являются частными. На природном газе работают 9 котельных (32,1%), на угле – 19 котельных (67,9%).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/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highlight w:val="white"/>
                <w:lang w:eastAsia="ru-RU"/>
              </w:rPr>
              <w:t xml:space="preserve">В целях реализации положений Федерального закона от 27 июля 2010 года № 190-ФЗ «О теплоснабжении» </w:t>
            </w: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 xml:space="preserve">Камышловским городским округом утверждена схема теплоснабжения, ежегодно осуществляется ее актуализация. В рамках схем теплоснабжения </w:t>
            </w: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highlight w:val="white"/>
                <w:lang w:eastAsia="ru-RU"/>
              </w:rPr>
              <w:t>определены основные этапы развития систем теплоснабжения.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  <w:highlight w:val="white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highlight w:val="white"/>
                <w:lang w:eastAsia="ru-RU"/>
              </w:rPr>
              <w:t>Проблемный вопрос. Высокий уровень физического износа объектов и сооружений коммунальной инфраструктуры, который приводит к возникновению аварийных ситуаций.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  <w:highlight w:val="white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highlight w:val="white"/>
                <w:lang w:eastAsia="ru-RU"/>
              </w:rPr>
              <w:t>Методы решения.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  <w:highlight w:val="white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highlight w:val="white"/>
                <w:lang w:eastAsia="ru-RU"/>
              </w:rPr>
              <w:t>1. Проведение реконструкции и модернизации существующих источников теплоснабжения.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  <w:highlight w:val="white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highlight w:val="white"/>
                <w:lang w:eastAsia="ru-RU"/>
              </w:rPr>
              <w:t>2. Повышение уровня профессиональной подготовки инженерного и технического состава, обслуживающего источники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  <w:highlight w:val="white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highlight w:val="white"/>
                <w:lang w:eastAsia="ru-RU"/>
              </w:rPr>
              <w:t>теплоснабжения.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  <w:highlight w:val="white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highlight w:val="white"/>
                <w:lang w:eastAsia="ru-RU"/>
              </w:rPr>
              <w:t>3. Повышение качества оказания услуг на рынке теплоснабжения.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  <w:highlight w:val="white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highlight w:val="white"/>
                <w:lang w:eastAsia="ru-RU"/>
              </w:rPr>
              <w:t>4. Передача управления объектов производства тепловой энергии частным операторам на основе концессионных соглашений.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  <w:highlight w:val="white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highlight w:val="white"/>
                <w:lang w:eastAsia="ru-RU"/>
              </w:rPr>
              <w:t>5. Организационно-методическая и консультационная поддержка по вопросам организации деятельности организаций в сфере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  <w:highlight w:val="white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highlight w:val="white"/>
                <w:lang w:eastAsia="ru-RU"/>
              </w:rPr>
              <w:t>теплоснабжения</w:t>
            </w:r>
          </w:p>
        </w:tc>
      </w:tr>
      <w:tr>
        <w:trPr>
          <w:trHeight w:val="23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bidi w:val="0"/>
              <w:snapToGrid w:val="false"/>
              <w:spacing w:lineRule="auto" w:line="240" w:before="0" w:after="0"/>
              <w:ind w:left="720" w:right="0" w:hanging="544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;Times New Roman" w:hAnsi="Liberation Serif;Times New Roman" w:eastAsia="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>Утверждение схем теплоснабжения (ежегодная актуализация)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наличие утвержденной нормативным правовым актом схемы теплоснабжения, процентов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100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100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28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100</w:t>
            </w:r>
          </w:p>
          <w:p>
            <w:pPr>
              <w:pStyle w:val="Normal"/>
              <w:widowControl w:val="false"/>
              <w:bidi w:val="0"/>
              <w:spacing w:lineRule="auto" w:line="228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28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Постановлением администрации Камышловского городского округа от 28.05.2021 года № 366 утверждена «Схема теплоснабжения Камышловского городского округа на период до 2036 года»</w:t>
            </w:r>
          </w:p>
        </w:tc>
      </w:tr>
      <w:tr>
        <w:trPr>
          <w:trHeight w:val="50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bidi w:val="0"/>
              <w:snapToGrid w:val="false"/>
              <w:spacing w:lineRule="auto" w:line="240" w:before="0" w:after="0"/>
              <w:ind w:left="720" w:right="0" w:hanging="544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;Times New Roman" w:hAnsi="Liberation Serif;Times New Roman" w:eastAsia="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>Заключение в отношении объектов теплоснабжения договоров аренды и концессионных соглашений, предусматривающих переход прав владения и (или) пользования в отношении муниципального имущества, не закрепленного на праве хозяйственного ведения или оперативного управления, только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/>
            </w:pPr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>по результатам проведения конкурсов на право</w:t>
            </w: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>их заключения, за исключением предоставления указанных прав на такое имущество в соответствии с законодательством Российской Федерации, в том числе передача такого имущества на праве хозяйственного ведения или оперативного управления муниципальным предприятиям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;Times New Roman" w:hAnsi="Liberation Serif;Times New Roman" w:eastAsia="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>или учреждениям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 xml:space="preserve">наличие у муниципального образования паспорта готовности </w:t>
              <w:br/>
              <w:t>к отопительному периоду, процентов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100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100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100</w:t>
            </w:r>
          </w:p>
        </w:tc>
      </w:tr>
      <w:tr>
        <w:trPr>
          <w:trHeight w:val="23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bidi w:val="0"/>
              <w:snapToGrid w:val="false"/>
              <w:spacing w:lineRule="auto" w:line="240" w:before="0" w:after="0"/>
              <w:ind w:left="720" w:right="0" w:hanging="544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</w:r>
          </w:p>
        </w:tc>
        <w:tc>
          <w:tcPr>
            <w:tcW w:w="148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19" w:leader="none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cs="Liberation Serif;Times New Roman" w:ascii="Liberation Serif;Times New Roman" w:hAnsi="Liberation Serif;Times New Roman"/>
                <w:b/>
                <w:sz w:val="24"/>
                <w:szCs w:val="24"/>
              </w:rPr>
              <w:t xml:space="preserve">5. Рынок </w:t>
            </w:r>
            <w:r>
              <w:rPr>
                <w:rFonts w:cs="Liberation Serif;Times New Roman" w:ascii="Liberation Serif;Times New Roman" w:hAnsi="Liberation Serif;Times New Roman"/>
                <w:b/>
                <w:sz w:val="24"/>
                <w:szCs w:val="24"/>
                <w:lang w:eastAsia="ru-RU"/>
              </w:rPr>
              <w:t>выполнения</w:t>
            </w:r>
            <w:r>
              <w:rPr>
                <w:rFonts w:cs="Liberation Serif;Times New Roman" w:ascii="Liberation Serif;Times New Roman" w:hAnsi="Liberation Serif;Times New Roman"/>
                <w:b/>
                <w:sz w:val="24"/>
                <w:szCs w:val="24"/>
              </w:rPr>
              <w:t xml:space="preserve"> работ по благоустройству городской среды</w:t>
            </w:r>
          </w:p>
        </w:tc>
      </w:tr>
      <w:tr>
        <w:trPr>
          <w:trHeight w:val="23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bidi w:val="0"/>
              <w:snapToGrid w:val="false"/>
              <w:spacing w:lineRule="auto" w:line="240" w:before="0" w:after="0"/>
              <w:ind w:left="720" w:right="0" w:hanging="544"/>
              <w:jc w:val="center"/>
              <w:rPr>
                <w:rFonts w:ascii="Liberation Serif;Times New Roman" w:hAnsi="Liberation Serif;Times New Roman" w:cs="Liberation Serif;Times New Roman"/>
                <w:b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sz w:val="24"/>
                <w:szCs w:val="24"/>
              </w:rPr>
            </w:r>
          </w:p>
        </w:tc>
        <w:tc>
          <w:tcPr>
            <w:tcW w:w="148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>Обоснование выбора товарного рынка с описанием текущей ситуации.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>На территории Камышловского городского округа находится 8 общественных территорий, из них 5 общественных территорий нуждаются в благоустройстве.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>В рамках участия в региональном проекте «Формирование комфортной городской среды» на территории Камышловского городского округа в период 2018-2020 годов комплексно благоустроены три общественные территории по ул. К. Маркса: центральный городской сквер, площадь и пешеходная зона от ул. Маяковского до ул. Ленина. Выполнены работы по покрытию поверхности, устройству наружного освещения, установке скамеек и урн, тротуаров, организации детских игровых площадок, произведены озеленение территории и установка ограждения. Общая стоимость реализации проекта по комплексному благоустройству ул. К. Маркса (центральный городской сквер и площадь) в Камышловском городском округе составила 26,9 млн. рублей, в том числе средства областного бюджета – 26,3 млн. рублей, средства местного бюджета – 0,6 млн. рублей. Стоимость реализации проекта по комплексному благоустройству ул. К. Маркса от ул. Урицкого до ул. Ленина в Камышловском городском округе составила 48,214 млн. рублей, в том числе средства областного бюджета – 47,379 млн. рублей, средства местного бюджета – 0,835 млн. рублей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>Проблемные вопросы.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>1.Недостаточный уровень благоустройства общественных территорий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>2.Низкая инвестиционная привлекательность сферы благоустройства городской среды.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>3.Повышенные требования к оперативности выполнения работ по благоустройству городской среды (сезонность).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>4.Недостаточно высокий уровень квалификации работников подрядных организаций, выполняющих работы по благоустройству городской среды.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>Методы решения.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>1. Применение конкурентных способов при размещении государственных заказов на выполнение работ по благоустройству городской среды.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>2.  Повышение информированности бизнеса о рынке выполнения работ по благоустройству городской среды</w:t>
            </w:r>
          </w:p>
        </w:tc>
      </w:tr>
      <w:tr>
        <w:trPr>
          <w:trHeight w:val="23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bidi w:val="0"/>
              <w:snapToGrid w:val="false"/>
              <w:spacing w:lineRule="auto" w:line="240" w:before="0" w:after="0"/>
              <w:ind w:left="720" w:right="0" w:hanging="544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16" w:before="0" w:after="0"/>
              <w:jc w:val="both"/>
              <w:rPr>
                <w:rFonts w:ascii="Liberation Serif;Times New Roman" w:hAnsi="Liberation Serif;Times New Roman" w:cs="Liberation Serif;Times New Roman"/>
                <w:kern w:val="2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kern w:val="2"/>
                <w:sz w:val="24"/>
                <w:szCs w:val="24"/>
              </w:rPr>
              <w:t>Создание условий для развития конкуренции на рынке выполнения работ по благоустройству городской среды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overflowPunct w:val="false"/>
              <w:bidi w:val="0"/>
              <w:spacing w:lineRule="auto" w:line="240" w:before="0" w:after="0"/>
              <w:ind w:left="0" w:right="0" w:hanging="0"/>
              <w:jc w:val="center"/>
              <w:textAlignment w:val="baseline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доля организаций частной формы собственности в сфере выполнения работ по благоустройству городской среды, процентов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overflowPunct w:val="false"/>
              <w:bidi w:val="0"/>
              <w:snapToGrid w:val="false"/>
              <w:spacing w:lineRule="auto" w:line="216" w:before="0" w:after="0"/>
              <w:ind w:left="0" w:right="0" w:hanging="0"/>
              <w:jc w:val="center"/>
              <w:textAlignment w:val="baseline"/>
              <w:rPr>
                <w:rFonts w:ascii="Liberation Serif;Times New Roman" w:hAnsi="Liberation Serif;Times New Roman" w:cs="Liberation Serif;Times New Roman"/>
                <w:kern w:val="2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kern w:val="2"/>
                <w:sz w:val="24"/>
                <w:szCs w:val="24"/>
              </w:rPr>
              <w:t>100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100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100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16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100</w:t>
            </w:r>
          </w:p>
        </w:tc>
      </w:tr>
      <w:tr>
        <w:trPr>
          <w:trHeight w:val="1040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bidi w:val="0"/>
              <w:snapToGrid w:val="false"/>
              <w:spacing w:lineRule="auto" w:line="240" w:before="0" w:after="0"/>
              <w:ind w:left="720" w:right="0" w:hanging="544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16" w:before="0" w:after="0"/>
              <w:jc w:val="both"/>
              <w:rPr>
                <w:rFonts w:ascii="Liberation Serif;Times New Roman" w:hAnsi="Liberation Serif;Times New Roman" w:cs="Liberation Serif;Times New Roman"/>
                <w:kern w:val="2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kern w:val="2"/>
                <w:sz w:val="24"/>
                <w:szCs w:val="24"/>
              </w:rPr>
              <w:t>Информирование о реализации мероприятий муниципальных программ «Формирование комфортной городской среды»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overflowPunct w:val="false"/>
              <w:bidi w:val="0"/>
              <w:spacing w:lineRule="auto" w:line="240" w:before="0" w:after="0"/>
              <w:ind w:left="0" w:right="0" w:hanging="0"/>
              <w:jc w:val="center"/>
              <w:textAlignment w:val="baseline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доля размещенной информации на официальных страницах ОМСУ в сети «Интернет» о реализации мероприятий муниципальных программ формирования современной городской среды, процентов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overflowPunct w:val="false"/>
              <w:bidi w:val="0"/>
              <w:snapToGrid w:val="false"/>
              <w:spacing w:lineRule="auto" w:line="216" w:before="0" w:after="0"/>
              <w:ind w:left="0" w:right="0" w:hanging="0"/>
              <w:jc w:val="center"/>
              <w:textAlignment w:val="baseline"/>
              <w:rPr>
                <w:rFonts w:ascii="Liberation Serif;Times New Roman" w:hAnsi="Liberation Serif;Times New Roman" w:cs="Liberation Serif;Times New Roman"/>
                <w:kern w:val="2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kern w:val="2"/>
                <w:sz w:val="24"/>
                <w:szCs w:val="24"/>
              </w:rPr>
              <w:t>100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100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100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16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100</w:t>
            </w:r>
          </w:p>
        </w:tc>
      </w:tr>
      <w:tr>
        <w:trPr>
          <w:trHeight w:val="23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bidi w:val="0"/>
              <w:snapToGrid w:val="false"/>
              <w:spacing w:lineRule="auto" w:line="240" w:before="0" w:after="0"/>
              <w:ind w:left="720" w:right="0" w:hanging="544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16" w:before="0" w:after="0"/>
              <w:jc w:val="both"/>
              <w:rPr>
                <w:rFonts w:ascii="Liberation Serif;Times New Roman" w:hAnsi="Liberation Serif;Times New Roman" w:cs="Liberation Serif;Times New Roman"/>
                <w:kern w:val="2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kern w:val="2"/>
                <w:sz w:val="24"/>
                <w:szCs w:val="24"/>
              </w:rPr>
              <w:t>Организация и проведение публичных торгов или иных конкурентных процедур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overflowPunct w:val="false"/>
              <w:bidi w:val="0"/>
              <w:spacing w:lineRule="auto" w:line="240" w:before="0" w:after="0"/>
              <w:ind w:left="0" w:right="0" w:hanging="0"/>
              <w:jc w:val="center"/>
              <w:textAlignment w:val="baseline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доля размещенных в сети «Интернет» информационных сообщений о проведении торгов или иных конкурентных процедур в общем количестве проведенных торгов или иных конкурентных процедур, процентов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overflowPunct w:val="false"/>
              <w:bidi w:val="0"/>
              <w:snapToGrid w:val="false"/>
              <w:spacing w:lineRule="auto" w:line="216" w:before="0" w:after="0"/>
              <w:ind w:left="0" w:right="0" w:hanging="0"/>
              <w:jc w:val="center"/>
              <w:textAlignment w:val="baseline"/>
              <w:rPr>
                <w:rFonts w:ascii="Liberation Serif;Times New Roman" w:hAnsi="Liberation Serif;Times New Roman" w:cs="Liberation Serif;Times New Roman"/>
                <w:kern w:val="2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kern w:val="2"/>
                <w:sz w:val="24"/>
                <w:szCs w:val="24"/>
              </w:rPr>
              <w:t>100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100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100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16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100</w:t>
            </w:r>
          </w:p>
        </w:tc>
      </w:tr>
      <w:tr>
        <w:trPr>
          <w:trHeight w:val="23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bidi w:val="0"/>
              <w:snapToGrid w:val="false"/>
              <w:spacing w:lineRule="auto" w:line="240" w:before="0" w:after="0"/>
              <w:ind w:left="720" w:right="0" w:hanging="544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</w:r>
          </w:p>
        </w:tc>
        <w:tc>
          <w:tcPr>
            <w:tcW w:w="148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19" w:leader="none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Calibri" w:cs="Liberation Serif;Times New Roman" w:ascii="Liberation Serif;Times New Roman" w:hAnsi="Liberation Serif;Times New Roman"/>
                <w:b/>
                <w:color w:val="auto"/>
                <w:sz w:val="24"/>
                <w:szCs w:val="24"/>
                <w:lang w:val="ru-RU" w:eastAsia="zh-CN" w:bidi="ar-SA"/>
              </w:rPr>
              <w:t>6</w:t>
            </w:r>
            <w:r>
              <w:rPr>
                <w:rFonts w:cs="Liberation Serif;Times New Roman" w:ascii="Liberation Serif;Times New Roman" w:hAnsi="Liberation Serif;Times New Roman"/>
                <w:b/>
                <w:sz w:val="24"/>
                <w:szCs w:val="24"/>
              </w:rPr>
              <w:t xml:space="preserve">. Рынок </w:t>
            </w:r>
            <w:r>
              <w:rPr>
                <w:rFonts w:cs="Liberation Serif;Times New Roman" w:ascii="Liberation Serif;Times New Roman" w:hAnsi="Liberation Serif;Times New Roman"/>
                <w:b/>
                <w:sz w:val="24"/>
                <w:szCs w:val="24"/>
                <w:lang w:eastAsia="ru-RU"/>
              </w:rPr>
              <w:t>выполнения</w:t>
            </w:r>
            <w:r>
              <w:rPr>
                <w:rFonts w:cs="Liberation Serif;Times New Roman" w:ascii="Liberation Serif;Times New Roman" w:hAnsi="Liberation Serif;Times New Roman"/>
                <w:b/>
                <w:sz w:val="24"/>
                <w:szCs w:val="24"/>
              </w:rPr>
              <w:t xml:space="preserve"> работ по содержанию и текущему ремонту общего имущества собственников помещений в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319" w:leader="none"/>
              </w:tabs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b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sz w:val="24"/>
                <w:szCs w:val="24"/>
              </w:rPr>
              <w:t>многоквартирном доме</w:t>
            </w:r>
          </w:p>
        </w:tc>
      </w:tr>
      <w:tr>
        <w:trPr>
          <w:trHeight w:val="23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bidi w:val="0"/>
              <w:snapToGrid w:val="false"/>
              <w:spacing w:lineRule="auto" w:line="240" w:before="0" w:after="0"/>
              <w:ind w:left="720" w:right="0" w:hanging="544"/>
              <w:jc w:val="center"/>
              <w:rPr>
                <w:rFonts w:ascii="Liberation Serif;Times New Roman" w:hAnsi="Liberation Serif;Times New Roman" w:cs="Liberation Serif;Times New Roman"/>
                <w:b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sz w:val="24"/>
                <w:szCs w:val="24"/>
              </w:rPr>
            </w:r>
          </w:p>
        </w:tc>
        <w:tc>
          <w:tcPr>
            <w:tcW w:w="148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>Обоснование выбора товарного рынка с описанием текущей ситуации.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/>
            </w:pPr>
            <w:r>
              <w:rPr>
                <w:rFonts w:eastAsia="Liberation Serif;Times New Roman" w:cs="Liberation Serif;Times New Roman" w:ascii="Liberation Serif;Times New Roman" w:hAnsi="Liberation Serif;Times New Roman"/>
                <w:sz w:val="24"/>
                <w:szCs w:val="24"/>
              </w:rPr>
              <w:t xml:space="preserve"> </w:t>
            </w: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На территории Камышловского городского округа расположено 635 многоквартирных домов, в том числе дома блокированной застройки. Управление жилищным фондом осуществляют 3 управляющих компании, 6 ТСЖ и жители 36 МКД определили способ управления – непосредственное управление. Доля жилищного фонда, находящегося в управлении управляющих компаний составляет 99% (без учета домов блокированной застройки). Деятельность организаций, управляющих многоквартирными жилыми домами, направлена на обеспечение безопасных, комфортных условий проживания граждан, а также на обеспечение открытости, прозрачности деятельности по управлению домами в соответствии со Стандартом раскрытия информации организациями, осуществляющими деятельность в сфере управления многоквартирными домами, утвержденным постановлением Правительства РФ от 23.09.2010 года № 731. Одной из основных форм государственного регулирования и контроля за качеством предоставляемых жилищно-коммунальных услуг является лицензирование деятельности предприятий, сертификация работ и услуг, подготовка специалистов отрасли. Использование данных форм регулирования не должно создавать барьеры для вхождения на вновь формируемый рынок новых организаций.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Проблемные вопросы.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1. Высокий износ инженерных сетей и конструктивных элементов домов;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2. Низкая обеспеченность квалифицированными кадрами;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3. Неэффективная система управления предприятиями жилищно-коммунального комплекса;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4. Несоблюдение управляющими организациями требований действующего законодательства по обеспечению прозрачности своей деятельности.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Методы решения.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1. Повышение качества оказания жилищно-коммунальных услуг.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2. Развитие электронных форм и площадок своевременного информирования управляющих компаний о возникших проблемах.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3. Создание благоприятных условий для роста количества лицензированных организаций, способных предлагать услуги на рынке предоставления услуг по управлению многоквартирным домом.</w:t>
            </w:r>
          </w:p>
        </w:tc>
      </w:tr>
      <w:tr>
        <w:trPr>
          <w:trHeight w:val="23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bidi w:val="0"/>
              <w:snapToGrid w:val="false"/>
              <w:spacing w:lineRule="auto" w:line="240" w:before="0" w:after="0"/>
              <w:ind w:left="720" w:right="0" w:hanging="544"/>
              <w:jc w:val="center"/>
              <w:rPr>
                <w:rFonts w:ascii="Liberation Serif;Times New Roman" w:hAnsi="Liberation Serif;Times New Roman" w:cs="Liberation Serif;Times New Roman"/>
                <w:b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sz w:val="24"/>
                <w:szCs w:val="24"/>
              </w:rPr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  <w:kern w:val="2"/>
                <w:sz w:val="24"/>
                <w:szCs w:val="24"/>
              </w:rPr>
              <w:t>Информирование собственников жилых помещений в многоквартирных домах через средства массовой информации (в том числе Интернет-сайты) об обязанностях управляющих организаций, правах и обязанностях собственников помещений многоквартирных домов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доме, процентов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  <w:kern w:val="2"/>
                <w:sz w:val="24"/>
                <w:szCs w:val="24"/>
              </w:rPr>
              <w:t>100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100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100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28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100</w:t>
            </w:r>
          </w:p>
        </w:tc>
      </w:tr>
      <w:tr>
        <w:trPr>
          <w:trHeight w:val="23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bidi w:val="0"/>
              <w:snapToGrid w:val="false"/>
              <w:spacing w:lineRule="auto" w:line="240" w:before="0" w:after="0"/>
              <w:ind w:left="720" w:right="0" w:hanging="544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  <w:kern w:val="2"/>
                <w:sz w:val="24"/>
                <w:szCs w:val="24"/>
              </w:rPr>
              <w:t>Обеспечение размещения нормативно-правовых актов в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  <w:kern w:val="2"/>
                <w:sz w:val="24"/>
                <w:szCs w:val="24"/>
              </w:rPr>
              <w:t>сфере ЖКХ в Государственной информационно-аналитической системе ЖКХ (ГИС ЖКХ), на сайте Камышловского городского округа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  <w:kern w:val="2"/>
                <w:sz w:val="24"/>
                <w:szCs w:val="24"/>
              </w:rPr>
              <w:t>доля размещенных нормативно-правовых актов в сфере ЖКХ, процентов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  <w:kern w:val="2"/>
                <w:sz w:val="24"/>
                <w:szCs w:val="24"/>
              </w:rPr>
              <w:t>100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100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100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100</w:t>
            </w:r>
          </w:p>
        </w:tc>
      </w:tr>
      <w:tr>
        <w:trPr>
          <w:trHeight w:val="23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bidi w:val="0"/>
              <w:snapToGrid w:val="false"/>
              <w:spacing w:lineRule="auto" w:line="240" w:before="0" w:after="0"/>
              <w:ind w:left="720" w:right="0" w:hanging="544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</w:r>
          </w:p>
        </w:tc>
        <w:tc>
          <w:tcPr>
            <w:tcW w:w="148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19" w:leader="none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cs="Liberation Serif;Times New Roman" w:ascii="Liberation Serif;Times New Roman" w:hAnsi="Liberation Serif;Times New Roman"/>
                <w:b/>
                <w:bCs/>
                <w:sz w:val="24"/>
                <w:szCs w:val="24"/>
                <w:lang w:eastAsia="ru-RU"/>
              </w:rPr>
              <w:t xml:space="preserve">7. Рынок </w:t>
            </w:r>
            <w:r>
              <w:rPr>
                <w:rFonts w:cs="Liberation Serif;Times New Roman" w:ascii="Liberation Serif;Times New Roman" w:hAnsi="Liberation Serif;Times New Roman"/>
                <w:b/>
                <w:sz w:val="24"/>
                <w:szCs w:val="24"/>
                <w:lang w:eastAsia="ru-RU"/>
              </w:rPr>
              <w:t>оказания</w:t>
            </w:r>
            <w:r>
              <w:rPr>
                <w:rFonts w:cs="Liberation Serif;Times New Roman" w:ascii="Liberation Serif;Times New Roman" w:hAnsi="Liberation Serif;Times New Roman"/>
                <w:b/>
                <w:bCs/>
                <w:sz w:val="24"/>
                <w:szCs w:val="24"/>
                <w:lang w:eastAsia="ru-RU"/>
              </w:rPr>
              <w:t xml:space="preserve">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>
        <w:trPr>
          <w:trHeight w:val="23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bidi w:val="0"/>
              <w:snapToGrid w:val="false"/>
              <w:spacing w:lineRule="auto" w:line="240" w:before="0" w:after="0"/>
              <w:ind w:left="720" w:right="0" w:hanging="544"/>
              <w:jc w:val="center"/>
              <w:rPr>
                <w:rFonts w:ascii="Liberation Serif;Times New Roman" w:hAnsi="Liberation Serif;Times New Roman" w:cs="Liberation Serif;Times New Roman"/>
                <w:b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sz w:val="24"/>
                <w:szCs w:val="24"/>
              </w:rPr>
            </w:r>
          </w:p>
        </w:tc>
        <w:tc>
          <w:tcPr>
            <w:tcW w:w="148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>Обоснование выбора товарного рынка с описанием текущей ситуации.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/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 xml:space="preserve">В Камышловском городском округе рынок услуг регулярных перевозок пассажиров наземным автомобильным транспортом сформирован с учетом сложившейся маршрутной сети, а также существующего спроса населения на эти услуги. В </w:t>
            </w:r>
            <w:r>
              <w:rPr>
                <w:rFonts w:eastAsia="Calibri" w:cs="Liberation Serif;Times New Roman" w:ascii="Liberation Serif;Times New Roman" w:hAnsi="Liberation Serif;Times New Roman"/>
                <w:color w:val="000000"/>
                <w:sz w:val="24"/>
                <w:szCs w:val="24"/>
                <w:lang w:val="ru-RU" w:eastAsia="ru-RU" w:bidi="ar-SA"/>
              </w:rPr>
              <w:t>Камышловском</w:t>
            </w: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 xml:space="preserve"> городском округе муниципальные унитарные предприятия, оказывающих услуги по перевозке пассажиров, отсутствуют. По состоянию на 1 января 2022 года доля частных перевозчиков составляет 100% - </w:t>
            </w:r>
            <w:r>
              <w:rPr>
                <w:rFonts w:eastAsia="Calibri" w:cs="Liberation Serif;Times New Roman" w:ascii="Liberation Serif;Times New Roman" w:hAnsi="Liberation Serif;Times New Roman"/>
                <w:color w:val="000000"/>
                <w:sz w:val="24"/>
                <w:szCs w:val="24"/>
                <w:lang w:val="ru-RU" w:eastAsia="ru-RU" w:bidi="ar-SA"/>
              </w:rPr>
              <w:t>ООО «Авто-Плюс».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>Проблемные вопросы.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>1. Низкий уровень развития частного сектора на рынке услуг по перевозке пассажиров автомобильным транспортом по муниципальным маршрутам регулярных перевозок.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>2. Значительные первоначальные вложения (стоимость автобусов и их обслуживания) при длительных сроках окупаемости.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>Методы решения.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>1. Оптимизация маршрутной сети.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>2. Обновление подвижного состава.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>3. Субсидирование перевозок отдельных категорий граждан</w:t>
            </w:r>
          </w:p>
        </w:tc>
      </w:tr>
      <w:tr>
        <w:trPr>
          <w:trHeight w:val="23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bidi w:val="0"/>
              <w:snapToGrid w:val="false"/>
              <w:spacing w:lineRule="auto" w:line="240" w:before="0" w:after="0"/>
              <w:ind w:left="720" w:right="0" w:hanging="544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 xml:space="preserve">Проведение мониторинга </w:t>
              <w:br/>
              <w:t xml:space="preserve">исполнения муниципальных контрактов в соответствии </w:t>
              <w:br/>
              <w:t>с требованиями законодательства о закупочной деятельности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доля муниципальных контрактов, заключенных в соответствии с требованиями законодательства о закупочной деятельности, процентов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100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100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eastAsia="Arial Unicode MS" w:cs="Liberation Serif;Times New Roman"/>
                <w:sz w:val="24"/>
                <w:szCs w:val="24"/>
                <w:lang w:eastAsia="ru-RU" w:bidi="ru-RU"/>
              </w:rPr>
            </w:pPr>
            <w:r>
              <w:rPr>
                <w:rFonts w:eastAsia="Arial Unicode MS" w:cs="Liberation Serif;Times New Roman" w:ascii="Liberation Serif;Times New Roman" w:hAnsi="Liberation Serif;Times New Roman"/>
                <w:sz w:val="24"/>
                <w:szCs w:val="24"/>
                <w:lang w:eastAsia="ru-RU" w:bidi="ru-RU"/>
              </w:rPr>
              <w:t>100</w:t>
            </w:r>
          </w:p>
        </w:tc>
      </w:tr>
      <w:tr>
        <w:trPr>
          <w:trHeight w:val="23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bidi w:val="0"/>
              <w:snapToGrid w:val="false"/>
              <w:spacing w:lineRule="auto" w:line="240" w:before="0" w:after="0"/>
              <w:ind w:left="720" w:right="0" w:hanging="544"/>
              <w:jc w:val="center"/>
              <w:rPr>
                <w:rFonts w:ascii="Liberation Serif;Times New Roman" w:hAnsi="Liberation Serif;Times New Roman" w:eastAsia="Arial Unicode MS" w:cs="Liberation Serif;Times New Roman"/>
                <w:sz w:val="24"/>
                <w:szCs w:val="24"/>
                <w:lang w:eastAsia="ru-RU" w:bidi="ru-RU"/>
              </w:rPr>
            </w:pPr>
            <w:r>
              <w:rPr>
                <w:rFonts w:eastAsia="Arial Unicode MS" w:cs="Liberation Serif;Times New Roman" w:ascii="Liberation Serif;Times New Roman" w:hAnsi="Liberation Serif;Times New Roman"/>
                <w:sz w:val="24"/>
                <w:szCs w:val="24"/>
                <w:lang w:eastAsia="ru-RU" w:bidi="ru-RU"/>
              </w:rPr>
            </w:r>
          </w:p>
        </w:tc>
        <w:tc>
          <w:tcPr>
            <w:tcW w:w="148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19" w:leader="none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cs="Liberation Serif;Times New Roman" w:ascii="Liberation Serif;Times New Roman" w:hAnsi="Liberation Serif;Times New Roman"/>
                <w:b/>
                <w:sz w:val="24"/>
                <w:szCs w:val="24"/>
              </w:rPr>
              <w:t xml:space="preserve">8. Рынок </w:t>
            </w:r>
            <w:r>
              <w:rPr>
                <w:rFonts w:cs="Liberation Serif;Times New Roman" w:ascii="Liberation Serif;Times New Roman" w:hAnsi="Liberation Serif;Times New Roman"/>
                <w:b/>
                <w:sz w:val="24"/>
                <w:szCs w:val="24"/>
                <w:lang w:eastAsia="ru-RU"/>
              </w:rPr>
              <w:t>легкой</w:t>
            </w:r>
            <w:r>
              <w:rPr>
                <w:rFonts w:cs="Liberation Serif;Times New Roman" w:ascii="Liberation Serif;Times New Roman" w:hAnsi="Liberation Serif;Times New Roman"/>
                <w:b/>
                <w:sz w:val="24"/>
                <w:szCs w:val="24"/>
              </w:rPr>
              <w:t xml:space="preserve"> промышленности</w:t>
            </w:r>
          </w:p>
        </w:tc>
      </w:tr>
      <w:tr>
        <w:trPr>
          <w:trHeight w:val="23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bidi w:val="0"/>
              <w:snapToGrid w:val="false"/>
              <w:spacing w:lineRule="auto" w:line="240" w:before="0" w:after="0"/>
              <w:ind w:left="720" w:right="0" w:hanging="544"/>
              <w:jc w:val="center"/>
              <w:rPr>
                <w:rFonts w:ascii="Liberation Serif;Times New Roman" w:hAnsi="Liberation Serif;Times New Roman" w:cs="Liberation Serif;Times New Roman"/>
                <w:b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sz w:val="24"/>
                <w:szCs w:val="24"/>
              </w:rPr>
            </w:r>
          </w:p>
        </w:tc>
        <w:tc>
          <w:tcPr>
            <w:tcW w:w="148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>Обоснование выбора товарного рынка с описанием текущей ситуации.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>В Камышловском городском округе легкая промышленность включает в себя два вида экономической деятельности: производство одежды и производство кожи. По состоянию на 1 января 2022 года доля организаций частной формы собственности в сфере легкой промышленности составляет 100%.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>Ведущие организации Камышловского городского округа в сфере легкой промышленности ООО ТД «Кожевенный завод», ИП Семенова О.В., Попова Л.М.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>ООО ТД «Кожевенный завод» -одно из немногих в России производств в кожевенной отрасли. Производит следующие виды продукции: кожа хромовая дубленая для верха обуви, кожа для подкладки обуви, юфть термоустойчивую, кожа для одежды, мебели. Кроме того, производится кожа для низа обуви, краст и полу-фабрикат «вет-блю».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>ИП Семенова О.В. и ИП Попова Л.М.  - производство спецодежды на заказ.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>Проблемные вопросы.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>1. Высокий уровень конкуренции со стороны российских товаров из других регионов Российской Федерации.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>2. Снижение покупательной способности населения.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>3. Высокая для данной отрасли налоговая нагрузка.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>Методы решения.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>1. Привлечение организаций к участию в различных конкурсах и выставках.</w:t>
            </w:r>
          </w:p>
        </w:tc>
      </w:tr>
      <w:tr>
        <w:trPr>
          <w:trHeight w:val="23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bidi w:val="0"/>
              <w:snapToGrid w:val="false"/>
              <w:spacing w:lineRule="auto" w:line="240" w:before="0" w:after="0"/>
              <w:ind w:left="720" w:right="0" w:hanging="544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Проведение организационных мероприятий (семинары, совещания, рабочие встречи, в рамках Координационного совета по инвестициям и развитию предпринимательства, с представителями субъектов предпринимательской деятельности), направленных на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повышение конкурентоспособности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и взаимодействия с предприятиями сферы оказываемых услуг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Доля организаций частной формы собственности в сфере легкой промышленности, процент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100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100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100</w:t>
            </w:r>
          </w:p>
        </w:tc>
      </w:tr>
      <w:tr>
        <w:trPr>
          <w:trHeight w:val="23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bidi w:val="0"/>
              <w:snapToGrid w:val="false"/>
              <w:spacing w:lineRule="auto" w:line="240" w:before="0" w:after="0"/>
              <w:ind w:left="720" w:right="0" w:hanging="544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</w:r>
          </w:p>
        </w:tc>
        <w:tc>
          <w:tcPr>
            <w:tcW w:w="148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19" w:leader="none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cs="Liberation Serif;Times New Roman" w:ascii="Liberation Serif;Times New Roman" w:hAnsi="Liberation Serif;Times New Roman"/>
                <w:b/>
                <w:bCs/>
                <w:sz w:val="24"/>
                <w:szCs w:val="24"/>
                <w:lang w:eastAsia="ru-RU"/>
              </w:rPr>
              <w:t xml:space="preserve">9. Рынок </w:t>
            </w:r>
            <w:r>
              <w:rPr>
                <w:rFonts w:cs="Liberation Serif;Times New Roman" w:ascii="Liberation Serif;Times New Roman" w:hAnsi="Liberation Serif;Times New Roman"/>
                <w:b/>
                <w:sz w:val="24"/>
                <w:szCs w:val="24"/>
              </w:rPr>
              <w:t>оказания</w:t>
            </w:r>
            <w:r>
              <w:rPr>
                <w:rFonts w:cs="Liberation Serif;Times New Roman" w:ascii="Liberation Serif;Times New Roman" w:hAnsi="Liberation Serif;Times New Roman"/>
                <w:b/>
                <w:bCs/>
                <w:sz w:val="24"/>
                <w:szCs w:val="24"/>
                <w:lang w:eastAsia="ru-RU"/>
              </w:rPr>
              <w:t xml:space="preserve"> услуг по обслуживанию и ремонту автотранспортных средств</w:t>
            </w:r>
          </w:p>
        </w:tc>
      </w:tr>
      <w:tr>
        <w:trPr>
          <w:trHeight w:val="23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bidi w:val="0"/>
              <w:snapToGrid w:val="false"/>
              <w:spacing w:lineRule="auto" w:line="240" w:before="0" w:after="0"/>
              <w:ind w:left="720" w:right="0" w:hanging="544"/>
              <w:jc w:val="center"/>
              <w:rPr>
                <w:rFonts w:ascii="Liberation Serif;Times New Roman" w:hAnsi="Liberation Serif;Times New Roman" w:cs="Liberation Serif;Times New Roman"/>
                <w:b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sz w:val="24"/>
                <w:szCs w:val="24"/>
              </w:rPr>
            </w:r>
          </w:p>
        </w:tc>
        <w:tc>
          <w:tcPr>
            <w:tcW w:w="148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/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>Обоснование выбора товарного рынка с описанием текущей ситуации. На рынке услуг по обслуживанию и ремонту транспортных средств отмечается высокая доля присутствия частного бизнеса-100%.</w:t>
            </w: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 xml:space="preserve"> М</w:t>
            </w: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>униципальные предприятия, предоставляющие данный вид услуг, в городском округе отсутствуют.</w:t>
            </w: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 xml:space="preserve"> Н</w:t>
            </w: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>а 01.01.202</w:t>
            </w:r>
            <w:r>
              <w:rPr>
                <w:rFonts w:eastAsia="Calibri" w:cs="Liberation Serif;Times New Roman" w:ascii="Liberation Serif;Times New Roman" w:hAnsi="Liberation Serif;Times New Roman"/>
                <w:color w:val="auto"/>
                <w:sz w:val="24"/>
                <w:szCs w:val="24"/>
                <w:lang w:val="ru-RU" w:eastAsia="ru-RU" w:bidi="ar-SA"/>
              </w:rPr>
              <w:t>2</w:t>
            </w: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 xml:space="preserve"> года в Камышловском городском округе в сфере обслуживания и ремонта автотранспортных средств ведут деятельность 23 организации.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>Основные проблемы.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>1. Низкая обеспеченность объектов, предоставляющих услуги по техническому обслуживанию и ремонту транспортных средств, производственными мощностями, инфраструктурой для клиентов, техникой, современными технологиями.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>2. Дефицит персонала высокой квалификации, порождающий конкуренцию автомастерских за высококвалифицированные кадры.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>Методы решения.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>1. Техническое перевооружение организаций и расширение спектра предоставляемых авторемонтных услуг.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>2. Информационное взаимодействие с представителям сферы услуг по обслуживанию и ремонту транспортных средств.</w:t>
            </w:r>
          </w:p>
        </w:tc>
      </w:tr>
      <w:tr>
        <w:trPr>
          <w:trHeight w:val="23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bidi w:val="0"/>
              <w:snapToGrid w:val="false"/>
              <w:spacing w:lineRule="auto" w:line="240" w:before="0" w:after="0"/>
              <w:ind w:left="720" w:right="0" w:hanging="544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>Мониторинг состояния и развития сети объектов, предоставляющих услуги по обслуживанию и ремонту транспортных средств, в рамках годовой отчетности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предоставление ежегодного отчета о результатах мониторинга в Министерство агропромышленного комплекса и потребительского рынка Свердловской области, процентов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100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100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100</w:t>
            </w:r>
          </w:p>
        </w:tc>
      </w:tr>
      <w:tr>
        <w:trPr>
          <w:trHeight w:val="23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bidi w:val="0"/>
              <w:snapToGrid w:val="false"/>
              <w:spacing w:lineRule="auto" w:line="240" w:before="0" w:after="0"/>
              <w:ind w:left="720" w:right="0" w:hanging="544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Проведение организационных мероприятий (семинары, совещания, рабочие встречи, в рамках Координационного совета по инвестициям и развитию предпринимательства, с представителями субъектов предпринимательской деятельности), направленных на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повышение конкурентоспособности</w:t>
            </w:r>
          </w:p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и взаимодействия с предприятиями сферы оказываемых услуг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доля организаций частной формы собственности в анализируемой сфере,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процент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100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100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100</w:t>
            </w:r>
          </w:p>
        </w:tc>
      </w:tr>
      <w:tr>
        <w:trPr>
          <w:trHeight w:val="23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bidi w:val="0"/>
              <w:snapToGrid w:val="false"/>
              <w:spacing w:lineRule="auto" w:line="240" w:before="0" w:after="0"/>
              <w:ind w:left="720" w:right="0" w:hanging="544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</w:r>
          </w:p>
        </w:tc>
        <w:tc>
          <w:tcPr>
            <w:tcW w:w="148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19" w:leader="none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cs="Liberation Serif;Times New Roman" w:ascii="Liberation Serif;Times New Roman" w:hAnsi="Liberation Serif;Times New Roman"/>
                <w:b/>
                <w:sz w:val="24"/>
                <w:szCs w:val="24"/>
              </w:rPr>
              <w:t>1</w:t>
            </w:r>
            <w:r>
              <w:rPr>
                <w:rFonts w:eastAsia="Calibri" w:cs="Liberation Serif;Times New Roman" w:ascii="Liberation Serif;Times New Roman" w:hAnsi="Liberation Serif;Times New Roman"/>
                <w:b/>
                <w:color w:val="000000"/>
                <w:sz w:val="24"/>
                <w:szCs w:val="24"/>
                <w:lang w:val="ru-RU" w:eastAsia="zh-CN" w:bidi="ar-SA"/>
              </w:rPr>
              <w:t>0</w:t>
            </w:r>
            <w:r>
              <w:rPr>
                <w:rFonts w:cs="Liberation Serif;Times New Roman" w:ascii="Liberation Serif;Times New Roman" w:hAnsi="Liberation Serif;Times New Roman"/>
                <w:b/>
                <w:sz w:val="24"/>
                <w:szCs w:val="24"/>
              </w:rPr>
              <w:t>. Сфера наружной рекламы</w:t>
            </w:r>
          </w:p>
        </w:tc>
      </w:tr>
      <w:tr>
        <w:trPr>
          <w:trHeight w:val="23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bidi w:val="0"/>
              <w:snapToGrid w:val="false"/>
              <w:spacing w:lineRule="auto" w:line="240" w:before="0" w:after="0"/>
              <w:ind w:left="720" w:right="0" w:hanging="544"/>
              <w:jc w:val="center"/>
              <w:rPr>
                <w:rFonts w:ascii="Liberation Serif;Times New Roman" w:hAnsi="Liberation Serif;Times New Roman" w:cs="Liberation Serif;Times New Roman"/>
                <w:b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sz w:val="24"/>
                <w:szCs w:val="24"/>
              </w:rPr>
            </w:r>
          </w:p>
        </w:tc>
        <w:tc>
          <w:tcPr>
            <w:tcW w:w="148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tabs>
                <w:tab w:val="clear" w:pos="709"/>
                <w:tab w:val="left" w:pos="319" w:leader="none"/>
              </w:tabs>
              <w:bidi w:val="0"/>
              <w:spacing w:lineRule="auto" w:line="240" w:before="0" w:after="0"/>
              <w:jc w:val="both"/>
              <w:rPr/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 xml:space="preserve">Обоснование выбора товарного рынка с описанием текущей ситуации. </w:t>
            </w: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 xml:space="preserve">По состоянию на 1 января 2022 года доля организаций частной формы собственности на рынке наружной рекламы составляла 100%.  </w:t>
            </w:r>
            <w:r>
              <w:rPr>
                <w:rFonts w:cs="Liberation Serif;Times New Roman" w:ascii="Liberation Serif;Times New Roman" w:hAnsi="Liberation Serif;Times New Roman"/>
                <w:color w:val="000000"/>
                <w:sz w:val="24"/>
                <w:szCs w:val="24"/>
              </w:rPr>
              <w:t>Развитие рынка наружной рекламы обеспечивалось за счет возрастающего числа высокотехнологичных рекламных конструкций с электронно-цифровой сменой изображения, таких как медиафасады и видеоэкраны.</w:t>
            </w:r>
          </w:p>
          <w:p>
            <w:pPr>
              <w:pStyle w:val="Normal"/>
              <w:keepLines/>
              <w:widowControl w:val="false"/>
              <w:bidi w:val="0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Проблемные вопросы.</w:t>
            </w:r>
          </w:p>
          <w:p>
            <w:pPr>
              <w:pStyle w:val="Normal"/>
              <w:keepLines/>
              <w:widowControl w:val="false"/>
              <w:bidi w:val="0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Органы местного самоуправления не наделены полномочиями по составлению протоколов об административных правонарушениях по части 1 статьи 19.5 Кодекса Российской Федерации об административных правонарушениях за невыполнение в установленный срок предписания о нарушениях законодательства о рекламе, предусмотренные статьей 19 Федерального закона  от 13 марта 2006 года № 38-ФЗ «О рекламе».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>Методы решения.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>1. Расширение функций уполномоченных органов в сфере рекламы.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/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>2. Борьба с незаконными рекламными конструкциями и недобросовестными рекламораспространителями,</w:t>
            </w:r>
            <w:r>
              <w:rPr>
                <w:rFonts w:cs="Liberation Serif;Times New Roman" w:ascii="Liberation Serif;Times New Roman" w:hAnsi="Liberation Serif;Times New Roman"/>
                <w:color w:val="000000"/>
                <w:sz w:val="24"/>
                <w:szCs w:val="24"/>
                <w:lang w:eastAsia="ru-RU"/>
              </w:rPr>
              <w:t xml:space="preserve"> направленная на повышение инвестиционной привлекательности рынка наружной рекламы.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>3. Проведение торгов на размещение рекламных конструкций только в электронном виде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3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bidi w:val="0"/>
              <w:snapToGrid w:val="false"/>
              <w:spacing w:lineRule="auto" w:line="240" w:before="0" w:after="0"/>
              <w:ind w:left="720" w:right="0" w:hanging="544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Размещение на официальном сайте Камышловского городского округа нормативных правовых актов, регулирующих сферу наружной рекламы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наличие на официальном сайте в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сети «Интернет» актуальной информации о нормативных правовых актах, регулирующих сферу наружной рекламы, процентов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28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100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100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100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(</w:t>
            </w:r>
            <w:hyperlink r:id="rId2">
              <w:r>
                <w:rPr>
                  <w:rFonts w:cs="Liberation Serif;Times New Roman" w:ascii="Liberation Serif;Times New Roman" w:hAnsi="Liberation Serif;Times New Roman"/>
                  <w:sz w:val="24"/>
                  <w:szCs w:val="24"/>
                </w:rPr>
                <w:t>http://gorod-kamyshlov.ru/communal/buildingadvert/</w:t>
              </w:r>
            </w:hyperlink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)</w:t>
            </w:r>
          </w:p>
        </w:tc>
      </w:tr>
      <w:tr>
        <w:trPr>
          <w:trHeight w:val="23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bidi w:val="0"/>
              <w:snapToGrid w:val="false"/>
              <w:spacing w:lineRule="auto" w:line="240" w:before="0" w:after="0"/>
              <w:ind w:left="720" w:right="0" w:hanging="544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hd w:val="clear" w:fill="FFFFFF"/>
              <w:bidi w:val="0"/>
              <w:spacing w:lineRule="auto" w:line="240" w:before="0" w:after="0"/>
              <w:jc w:val="both"/>
              <w:rPr/>
            </w:pPr>
            <w:r>
              <w:rPr>
                <w:rFonts w:eastAsia="Times New Roman" w:cs="Liberation Serif;Times New Roman" w:ascii="Liberation Serif;Times New Roman" w:hAnsi="Liberation Serif;Times New Roman"/>
                <w:color w:val="000000"/>
                <w:sz w:val="24"/>
                <w:szCs w:val="24"/>
                <w:lang w:eastAsia="ru-RU"/>
              </w:rPr>
              <w:t xml:space="preserve">Утверждение схем размещения рекламных конструкций </w:t>
            </w:r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>(актуализация)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Liberation Serif;Times New Roman" w:hAnsi="Liberation Serif;Times New Roman" w:eastAsia="Times New Roman" w:cs="Liberation Serif;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доля согласованных актуализированных схем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размещения рекламных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конструкций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hd w:val="clear" w:fill="FFFFFF"/>
              <w:bidi w:val="0"/>
              <w:spacing w:lineRule="auto" w:line="240" w:before="0" w:after="0"/>
              <w:jc w:val="both"/>
              <w:rPr>
                <w:rFonts w:ascii="Liberation Serif;Times New Roman" w:hAnsi="Liberation Serif;Times New Roman" w:eastAsia="Liberation Serif;Times New Roman" w:cs="Liberation Serif;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Liberation Serif;Times New Roman" w:cs="Liberation Serif;Times New Roman" w:ascii="Liberation Serif;Times New Roman" w:hAnsi="Liberation Serif;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Liberation Serif;Times New Roman" w:cs="Liberation Serif;Times New Roman" w:ascii="Liberation Serif;Times New Roman" w:hAnsi="Liberation Serif;Times New Roman"/>
                <w:color w:val="000000"/>
                <w:sz w:val="24"/>
                <w:szCs w:val="24"/>
                <w:lang w:eastAsia="ru-RU"/>
              </w:rPr>
              <w:t>100</w:t>
            </w:r>
          </w:p>
          <w:p>
            <w:pPr>
              <w:pStyle w:val="Normal"/>
              <w:widowControl w:val="false"/>
              <w:shd w:val="clear" w:fill="FFFFFF"/>
              <w:bidi w:val="0"/>
              <w:spacing w:lineRule="auto" w:line="240" w:before="0" w:after="0"/>
              <w:jc w:val="left"/>
              <w:rPr>
                <w:rFonts w:ascii="Liberation Serif;Times New Roman" w:hAnsi="Liberation Serif;Times New Roman" w:eastAsia="Times New Roman" w:cs="Liberation Serif;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100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100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100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(</w:t>
            </w:r>
            <w:hyperlink r:id="rId3">
              <w:r>
                <w:rPr>
                  <w:rFonts w:cs="Liberation Serif;Times New Roman" w:ascii="Liberation Serif;Times New Roman" w:hAnsi="Liberation Serif;Times New Roman"/>
                  <w:sz w:val="24"/>
                  <w:szCs w:val="24"/>
                </w:rPr>
                <w:t>http://gorod-kamyshlov.ru/communal/buildingadvert/</w:t>
              </w:r>
            </w:hyperlink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)</w:t>
            </w:r>
          </w:p>
        </w:tc>
      </w:tr>
      <w:tr>
        <w:trPr>
          <w:trHeight w:val="263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bidi w:val="0"/>
              <w:snapToGrid w:val="false"/>
              <w:spacing w:lineRule="auto" w:line="240" w:before="0" w:after="0"/>
              <w:ind w:left="720" w:right="0" w:hanging="544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</w:r>
          </w:p>
        </w:tc>
        <w:tc>
          <w:tcPr>
            <w:tcW w:w="148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19" w:leader="none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cs="Liberation Serif;Times New Roman" w:ascii="Liberation Serif;Times New Roman" w:hAnsi="Liberation Serif;Times New Roman"/>
                <w:b/>
                <w:sz w:val="24"/>
                <w:szCs w:val="24"/>
                <w:lang w:eastAsia="ru-RU"/>
              </w:rPr>
              <w:t xml:space="preserve">11. Рынок </w:t>
            </w:r>
            <w:r>
              <w:rPr>
                <w:rFonts w:cs="Liberation Serif;Times New Roman" w:ascii="Liberation Serif;Times New Roman" w:hAnsi="Liberation Serif;Times New Roman"/>
                <w:b/>
                <w:sz w:val="24"/>
                <w:szCs w:val="24"/>
              </w:rPr>
              <w:t>ритуальных</w:t>
            </w:r>
            <w:r>
              <w:rPr>
                <w:rFonts w:cs="Liberation Serif;Times New Roman" w:ascii="Liberation Serif;Times New Roman" w:hAnsi="Liberation Serif;Times New Roman"/>
                <w:b/>
                <w:sz w:val="24"/>
                <w:szCs w:val="24"/>
                <w:lang w:eastAsia="ru-RU"/>
              </w:rPr>
              <w:t xml:space="preserve"> услуг</w:t>
            </w:r>
          </w:p>
        </w:tc>
      </w:tr>
      <w:tr>
        <w:trPr>
          <w:trHeight w:val="23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bidi w:val="0"/>
              <w:snapToGrid w:val="false"/>
              <w:spacing w:lineRule="auto" w:line="240" w:before="0" w:after="0"/>
              <w:ind w:left="720" w:right="0" w:hanging="544"/>
              <w:jc w:val="center"/>
              <w:rPr>
                <w:rFonts w:ascii="Liberation Serif;Times New Roman" w:hAnsi="Liberation Serif;Times New Roman" w:cs="Liberation Serif;Times New Roman"/>
                <w:b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sz w:val="24"/>
                <w:szCs w:val="24"/>
              </w:rPr>
            </w:r>
          </w:p>
        </w:tc>
        <w:tc>
          <w:tcPr>
            <w:tcW w:w="148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i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  <w:sz w:val="24"/>
                <w:szCs w:val="24"/>
                <w:lang w:eastAsia="ru-RU"/>
              </w:rPr>
              <w:t>Обоснование выбора товарного рынка с описанием текущей ситуации.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/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 xml:space="preserve">По состоянию 1 января 2022 года на территории Камышловского городского округа </w:t>
            </w:r>
            <w:r>
              <w:rPr>
                <w:rFonts w:eastAsia="Calibri" w:cs="Liberation Serif;Times New Roman" w:ascii="Liberation Serif;Times New Roman" w:hAnsi="Liberation Serif;Times New Roman"/>
                <w:color w:val="000000"/>
                <w:sz w:val="24"/>
                <w:szCs w:val="24"/>
                <w:lang w:val="ru-RU" w:eastAsia="zh-CN" w:bidi="ar-SA"/>
              </w:rPr>
              <w:t>5</w:t>
            </w: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 xml:space="preserve"> организаций частной формы собственности по оказанию ритуальных услуг и 1 организация муниципальной формы собственности.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/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 xml:space="preserve">Содержание мест захоронения на территории города закреплено за муниципальным казенным учреждением «Центр городского </w:t>
            </w:r>
            <w:r>
              <w:rPr>
                <w:rFonts w:eastAsia="Calibri" w:cs="Liberation Serif;Times New Roman" w:ascii="Liberation Serif;Times New Roman" w:hAnsi="Liberation Serif;Times New Roman"/>
                <w:color w:val="000000"/>
                <w:sz w:val="24"/>
                <w:szCs w:val="24"/>
                <w:lang w:val="ru-RU" w:eastAsia="zh-CN" w:bidi="ar-SA"/>
              </w:rPr>
              <w:t>обслуживания</w:t>
            </w: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».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Действуют и содержатся два кладбища: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- Городское кладбище – общая площадь 10,9 га., расположенное по адресу: г.Камышлов, ул. Октябрьская, 1а;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- Закамышловское кладбище – общая площадь – 6 га., расположенное по адресу: г.Камышлов, ул. Закамышловская 1б.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Проблемные вопросы. Законодательством Российской Федерации не урегулирована деятельность коммерческих организаций и индивидуальных предпринимателей, осуществляющих оказание ритуальных услуг в населенных пунктах, не определен порядок взаимодействия специализированных служб с коммерческими организациями и индивидуальными предпринимателями. В связи с этим граждане сталкиваются с избыточностью процедур при оформлении необходимых для погребения документов, низким качеством ритуальных услуг, отсутствием квалифицированных ритуальных агентов, навязыванием дорогостоящих услуг.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Методы решения</w:t>
            </w:r>
            <w:r>
              <w:rPr>
                <w:rFonts w:cs="Liberation Serif;Times New Roman" w:ascii="Liberation Serif;Times New Roman" w:hAnsi="Liberation Serif;Times New Roman"/>
                <w:i/>
                <w:sz w:val="24"/>
                <w:szCs w:val="24"/>
              </w:rPr>
              <w:t>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1. Выработка и реализация мер по снижению уровня коррупции в сфере предоставления ритуальных услуг.</w:t>
            </w:r>
          </w:p>
        </w:tc>
      </w:tr>
      <w:tr>
        <w:trPr>
          <w:trHeight w:val="23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bidi w:val="0"/>
              <w:snapToGrid w:val="false"/>
              <w:spacing w:lineRule="auto" w:line="240" w:before="0" w:after="0"/>
              <w:ind w:left="720" w:right="0" w:hanging="544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contextualSpacing/>
              <w:jc w:val="both"/>
              <w:rPr>
                <w:rFonts w:ascii="Liberation Serif;Times New Roman" w:hAnsi="Liberation Serif;Times New Roman" w:eastAsia="Arial Unicode MS" w:cs="Liberation Serif;Times New Roman"/>
                <w:sz w:val="24"/>
                <w:szCs w:val="24"/>
                <w:lang w:eastAsia="ru-RU" w:bidi="ru-RU"/>
              </w:rPr>
            </w:pPr>
            <w:r>
              <w:rPr>
                <w:rFonts w:eastAsia="Arial Unicode MS" w:cs="Liberation Serif;Times New Roman" w:ascii="Liberation Serif;Times New Roman" w:hAnsi="Liberation Serif;Times New Roman"/>
                <w:sz w:val="24"/>
                <w:szCs w:val="24"/>
                <w:lang w:eastAsia="ru-RU" w:bidi="ru-RU"/>
              </w:rPr>
              <w:t>Формирование реестра организаций, осуществляющих деятельность на рынке ритуальных услуг Камышловского городского округа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/>
            </w:pPr>
            <w:r>
              <w:rPr>
                <w:rFonts w:eastAsia="Calibri" w:cs="Liberation Serif;Times New Roman" w:ascii="Liberation Serif;Times New Roman" w:hAnsi="Liberation Serif;Times New Roman"/>
                <w:color w:val="000000"/>
                <w:sz w:val="24"/>
                <w:szCs w:val="24"/>
                <w:lang w:val="ru-RU" w:eastAsia="zh-CN" w:bidi="ar-SA"/>
              </w:rPr>
              <w:t>н</w:t>
            </w: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аличие на официальном сайте администрации Камышловского городского округа актуального реестра организаций, осуществляющих деятельность на рынке ритуальных услуг, процентов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28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100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100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100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(</w:t>
            </w:r>
            <w:hyperlink r:id="rId4">
              <w:r>
                <w:rPr>
                  <w:rFonts w:cs="Liberation Serif;Times New Roman" w:ascii="Liberation Serif;Times New Roman" w:hAnsi="Liberation Serif;Times New Roman"/>
                  <w:sz w:val="24"/>
                  <w:szCs w:val="24"/>
                </w:rPr>
                <w:t>http://gorod-kamyshlov.ru/economy/</w:t>
              </w:r>
            </w:hyperlink>
            <w:hyperlink r:id="rId5">
              <w:r>
                <w:rPr>
                  <w:rFonts w:cs="Liberation Serif;Times New Roman" w:ascii="Liberation Serif;Times New Roman" w:hAnsi="Liberation Serif;Times New Roman"/>
                  <w:sz w:val="24"/>
                  <w:szCs w:val="24"/>
                </w:rPr>
                <w:t>consumerenterprises/</w:t>
              </w:r>
            </w:hyperlink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)</w:t>
            </w:r>
          </w:p>
        </w:tc>
      </w:tr>
      <w:tr>
        <w:trPr>
          <w:trHeight w:val="23" w:hRule="atLeast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bidi w:val="0"/>
              <w:snapToGrid w:val="false"/>
              <w:spacing w:lineRule="auto" w:line="240" w:before="0" w:after="0"/>
              <w:ind w:left="720" w:right="0" w:hanging="544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</w:r>
          </w:p>
        </w:tc>
        <w:tc>
          <w:tcPr>
            <w:tcW w:w="37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contextualSpacing/>
              <w:jc w:val="both"/>
              <w:rPr>
                <w:rFonts w:ascii="Liberation Serif;Times New Roman" w:hAnsi="Liberation Serif;Times New Roman" w:eastAsia="Arial Unicode MS" w:cs="Liberation Serif;Times New Roman"/>
                <w:sz w:val="24"/>
                <w:szCs w:val="24"/>
                <w:lang w:eastAsia="ru-RU" w:bidi="ru-RU"/>
              </w:rPr>
            </w:pPr>
            <w:r>
              <w:rPr>
                <w:rFonts w:eastAsia="Arial Unicode MS" w:cs="Liberation Serif;Times New Roman" w:ascii="Liberation Serif;Times New Roman" w:hAnsi="Liberation Serif;Times New Roman"/>
                <w:sz w:val="24"/>
                <w:szCs w:val="24"/>
                <w:lang w:eastAsia="ru-RU" w:bidi="ru-RU"/>
              </w:rPr>
              <w:t>Организация инвентаризации кладбищ и мест захоронений на них</w:t>
            </w:r>
          </w:p>
        </w:tc>
        <w:tc>
          <w:tcPr>
            <w:tcW w:w="34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/>
            </w:pPr>
            <w:r>
              <w:rPr>
                <w:rFonts w:eastAsia="Calibri" w:cs="Liberation Serif;Times New Roman" w:ascii="Liberation Serif;Times New Roman" w:hAnsi="Liberation Serif;Times New Roman"/>
                <w:color w:val="000000"/>
                <w:sz w:val="24"/>
                <w:szCs w:val="24"/>
                <w:lang w:val="ru-RU" w:eastAsia="zh-CN" w:bidi="ar-SA"/>
              </w:rPr>
              <w:t>с</w:t>
            </w: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ведения о существующих кладбищах Камышловского городского округа и местах захоронений на них включены в реестр кладбищ Свердловской области и мест захоронений на них, размещенный на Едином портале государственных и муниципальных услуг, процентов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28" w:before="0" w:after="0"/>
              <w:jc w:val="both"/>
              <w:rPr/>
            </w:pPr>
            <w:r>
              <w:rPr/>
              <w:t>0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Liberation Serif;Times New Roman" w:hAnsi="Liberation Serif;Times New Roman" w:eastAsia="Calibri" w:cs="Liberation Serif;Times New Roman"/>
                <w:color w:val="auto"/>
                <w:sz w:val="24"/>
                <w:szCs w:val="24"/>
                <w:lang w:val="ru-RU" w:eastAsia="zh-CN" w:bidi="ar-SA"/>
              </w:rPr>
            </w:pPr>
            <w:r>
              <w:rPr>
                <w:rFonts w:eastAsia="Calibri" w:cs="Liberation Serif;Times New Roman" w:ascii="Liberation Serif;Times New Roman" w:hAnsi="Liberation Serif;Times New Roman"/>
                <w:color w:val="auto"/>
                <w:sz w:val="24"/>
                <w:szCs w:val="24"/>
                <w:lang w:val="ru-RU" w:eastAsia="zh-CN" w:bidi="ar-SA"/>
              </w:rPr>
              <w:t>0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0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100</w:t>
            </w:r>
          </w:p>
        </w:tc>
        <w:tc>
          <w:tcPr>
            <w:tcW w:w="3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28" w:before="0" w:after="0"/>
              <w:jc w:val="center"/>
              <w:rPr>
                <w:rFonts w:ascii="Liberation Serif;Times New Roman" w:hAnsi="Liberation Serif;Times New Roman" w:eastAsia="Calibri" w:cs="Liberation Serif;Times New Roman"/>
                <w:color w:val="auto"/>
                <w:sz w:val="24"/>
                <w:szCs w:val="24"/>
                <w:lang w:val="ru-RU" w:eastAsia="zh-CN" w:bidi="ar-SA"/>
              </w:rPr>
            </w:pPr>
            <w:r>
              <w:rPr>
                <w:rFonts w:eastAsia="Calibri" w:cs="Liberation Serif;Times New Roman" w:ascii="Liberation Serif;Times New Roman" w:hAnsi="Liberation Serif;Times New Roman"/>
                <w:b w:val="false"/>
                <w:i w:val="false"/>
                <w:caps w:val="false"/>
                <w:smallCaps w:val="false"/>
                <w:color w:val="auto"/>
                <w:spacing w:val="0"/>
                <w:sz w:val="24"/>
                <w:szCs w:val="24"/>
                <w:lang w:val="ru-RU" w:eastAsia="zh-CN" w:bidi="ar-SA"/>
              </w:rPr>
              <w:t>Постановлением администрации от 06.12.2022 года №1179 утвержден «</w:t>
            </w:r>
            <w:r>
              <w:rPr>
                <w:rFonts w:eastAsia="Calibri" w:cs="Liberation Serif;Times New Roman" w:ascii="Liberation Serif;Times New Roman" w:hAnsi="Liberation Serif;Times New Roman"/>
                <w:b w:val="false"/>
                <w:i w:val="false"/>
                <w:caps w:val="false"/>
                <w:smallCaps w:val="false"/>
                <w:color w:val="auto"/>
                <w:spacing w:val="0"/>
                <w:sz w:val="24"/>
                <w:szCs w:val="24"/>
                <w:lang w:val="ru-RU" w:eastAsia="zh-CN" w:bidi="ar-SA"/>
              </w:rPr>
              <w:t>Поряд</w:t>
            </w:r>
            <w:r>
              <w:rPr>
                <w:rFonts w:eastAsia="Calibri" w:cs="Liberation Serif;Times New Roman" w:ascii="Liberation Serif;Times New Roman" w:hAnsi="Liberation Serif;Times New Roman"/>
                <w:b w:val="false"/>
                <w:i w:val="false"/>
                <w:caps w:val="false"/>
                <w:smallCaps w:val="false"/>
                <w:color w:val="auto"/>
                <w:spacing w:val="0"/>
                <w:sz w:val="24"/>
                <w:szCs w:val="24"/>
                <w:lang w:val="ru-RU" w:eastAsia="zh-CN" w:bidi="ar-SA"/>
              </w:rPr>
              <w:t>ок</w:t>
            </w:r>
            <w:r>
              <w:rPr>
                <w:rFonts w:eastAsia="Calibri" w:cs="Liberation Serif;Times New Roman" w:ascii="Liberation Serif;Times New Roman" w:hAnsi="Liberation Serif;Times New Roman"/>
                <w:b w:val="false"/>
                <w:i w:val="false"/>
                <w:caps w:val="false"/>
                <w:smallCaps w:val="false"/>
                <w:color w:val="auto"/>
                <w:spacing w:val="0"/>
                <w:sz w:val="24"/>
                <w:szCs w:val="24"/>
                <w:lang w:val="ru-RU" w:eastAsia="zh-CN" w:bidi="ar-SA"/>
              </w:rPr>
              <w:t xml:space="preserve"> проведения инвентаризации мест захоронений</w:t>
            </w:r>
          </w:p>
          <w:p>
            <w:pPr>
              <w:pStyle w:val="Normal"/>
              <w:widowControl/>
              <w:ind w:left="0" w:right="0" w:hanging="0"/>
              <w:jc w:val="left"/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color w:val="1A1A1A"/>
                <w:spacing w:val="0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color w:val="1A1A1A"/>
                <w:spacing w:val="0"/>
                <w:sz w:val="24"/>
                <w:szCs w:val="24"/>
              </w:rPr>
              <w:t>на кладбищах Камышловского городского округа»</w:t>
            </w:r>
          </w:p>
          <w:p>
            <w:pPr>
              <w:pStyle w:val="Normal"/>
              <w:widowControl w:val="false"/>
              <w:bidi w:val="0"/>
              <w:snapToGrid w:val="false"/>
              <w:spacing w:lineRule="auto" w:line="228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>
          <w:trHeight w:val="23" w:hRule="atLeast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bidi w:val="0"/>
              <w:snapToGrid w:val="false"/>
              <w:spacing w:lineRule="auto" w:line="240" w:before="0" w:after="0"/>
              <w:ind w:left="720" w:right="0" w:hanging="544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</w:r>
          </w:p>
        </w:tc>
        <w:tc>
          <w:tcPr>
            <w:tcW w:w="37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Lines/>
              <w:widowControl w:val="false"/>
              <w:tabs>
                <w:tab w:val="clear" w:pos="709"/>
                <w:tab w:val="left" w:pos="319" w:leader="none"/>
              </w:tabs>
              <w:bidi w:val="0"/>
              <w:spacing w:lineRule="auto" w:line="228" w:before="0" w:after="0"/>
              <w:contextualSpacing/>
              <w:jc w:val="both"/>
              <w:rPr>
                <w:rFonts w:ascii="Liberation Serif;Times New Roman" w:hAnsi="Liberation Serif;Times New Roman" w:eastAsia="Arial Unicode MS" w:cs="Liberation Serif;Times New Roman"/>
                <w:sz w:val="24"/>
                <w:szCs w:val="22"/>
                <w:lang w:eastAsia="ru-RU" w:bidi="ru-RU"/>
              </w:rPr>
            </w:pPr>
            <w:r>
              <w:rPr>
                <w:rFonts w:eastAsia="Arial Unicode MS" w:cs="Liberation Serif;Times New Roman" w:ascii="Liberation Serif;Times New Roman" w:hAnsi="Liberation Serif;Times New Roman"/>
                <w:sz w:val="24"/>
                <w:szCs w:val="22"/>
                <w:lang w:eastAsia="ru-RU" w:bidi="ru-RU"/>
              </w:rPr>
              <w:t xml:space="preserve">Обеспечение оказания услуг </w:t>
              <w:br/>
              <w:t>по организации похорон по принципу «одного окна» на основе конкуренции с предоставлением лицам, ответственным за организацию захоронения, полной информации о хозяйствующих субъектах, содержащейся реестрах хозяйствующих субъектов, имеющих право на оказание услуг по организации похорон, включая стоимость оказываемых хозяйствующими субъектами ритуальных услуг</w:t>
            </w:r>
          </w:p>
        </w:tc>
        <w:tc>
          <w:tcPr>
            <w:tcW w:w="34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наличие нормативного правового акта об организации оказания услуг по организации похорон по принципу «одного окна», процентов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28" w:before="0" w:after="0"/>
              <w:jc w:val="both"/>
              <w:rPr/>
            </w:pPr>
            <w:r>
              <w:rPr/>
              <w:t>0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0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100</w:t>
            </w:r>
          </w:p>
        </w:tc>
        <w:tc>
          <w:tcPr>
            <w:tcW w:w="3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0</w:t>
            </w:r>
          </w:p>
        </w:tc>
      </w:tr>
    </w:tbl>
    <w:p>
      <w:pPr>
        <w:pStyle w:val="Normal"/>
        <w:bidi w:val="0"/>
        <w:spacing w:lineRule="auto" w:line="240" w:before="0" w:after="0"/>
        <w:ind w:left="0" w:right="0" w:firstLine="316"/>
        <w:jc w:val="both"/>
        <w:rPr>
          <w:rFonts w:ascii="Liberation Serif;Times New Roman" w:hAnsi="Liberation Serif;Times New Roman" w:cs="Liberation Serif;Times New Roman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</w:rPr>
      </w:r>
      <w:bookmarkStart w:id="2" w:name="__DdeLink__14490_14003321891"/>
      <w:bookmarkStart w:id="3" w:name="__DdeLink__14490_14003321891"/>
      <w:bookmarkEnd w:id="3"/>
    </w:p>
    <w:p>
      <w:pPr>
        <w:sectPr>
          <w:type w:val="nextPage"/>
          <w:pgSz w:orient="landscape" w:w="16838" w:h="11906"/>
          <w:pgMar w:left="1134" w:right="1134" w:gutter="0" w:header="0" w:top="1134" w:footer="0" w:bottom="1134"/>
          <w:pgNumType w:fmt="decimal"/>
          <w:formProt w:val="false"/>
          <w:textDirection w:val="lrTb"/>
          <w:docGrid w:type="default" w:linePitch="600" w:charSpace="32768"/>
        </w:sectPr>
        <w:pStyle w:val="Normal"/>
        <w:tabs>
          <w:tab w:val="clear" w:pos="709"/>
          <w:tab w:val="left" w:pos="2595" w:leader="none"/>
        </w:tabs>
        <w:bidi w:val="0"/>
        <w:jc w:val="left"/>
        <w:rPr>
          <w:rFonts w:ascii="Liberation Serif;Times New Roman" w:hAnsi="Liberation Serif;Times New Roman" w:cs="Liberation Serif;Times New Roman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</w:rPr>
        <w:tab/>
      </w:r>
    </w:p>
    <w:p>
      <w:pPr>
        <w:pStyle w:val="Normal"/>
        <w:bidi w:val="0"/>
        <w:spacing w:lineRule="auto" w:line="240" w:before="0" w:after="0"/>
        <w:jc w:val="center"/>
        <w:rPr/>
      </w:pPr>
      <w:r>
        <w:rPr>
          <w:rFonts w:eastAsia="Liberation Serif;Times New Roman" w:cs="Liberation Serif;Times New Roman" w:ascii="Liberation Serif;Times New Roman" w:hAnsi="Liberation Serif;Times New Roman"/>
          <w:b/>
          <w:bCs w:val="false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</w:t>
      </w:r>
      <w:r>
        <w:rPr>
          <w:rFonts w:eastAsia="Liberation Serif;Times New Roman" w:cs="Liberation Serif;Times New Roman" w:ascii="Liberation Serif;Times New Roman" w:hAnsi="Liberation Serif;Times New Roman"/>
          <w:b w:val="false"/>
          <w:bCs w:val="false"/>
          <w:sz w:val="28"/>
          <w:szCs w:val="28"/>
        </w:rPr>
        <w:t xml:space="preserve"> </w:t>
      </w:r>
      <w:r>
        <w:rPr>
          <w:rFonts w:cs="Liberation Serif;Times New Roman" w:ascii="Liberation Serif;Times New Roman" w:hAnsi="Liberation Serif;Times New Roman"/>
          <w:b w:val="false"/>
          <w:bCs w:val="false"/>
          <w:sz w:val="28"/>
          <w:szCs w:val="28"/>
        </w:rPr>
        <w:t>Таблица 2</w:t>
      </w:r>
    </w:p>
    <w:p>
      <w:pPr>
        <w:pStyle w:val="Normal"/>
        <w:bidi w:val="0"/>
        <w:spacing w:lineRule="auto" w:line="240" w:before="0" w:after="0"/>
        <w:jc w:val="center"/>
        <w:rPr>
          <w:rFonts w:ascii="Liberation Serif;Times New Roman" w:hAnsi="Liberation Serif;Times New Roman" w:cs="Liberation Serif;Times New Roman"/>
          <w:b/>
          <w:sz w:val="28"/>
          <w:szCs w:val="28"/>
        </w:rPr>
      </w:pPr>
      <w:bookmarkStart w:id="4" w:name="__DdeLink__93767_1400332189"/>
      <w:bookmarkEnd w:id="4"/>
      <w:r>
        <w:rPr>
          <w:rFonts w:cs="Liberation Serif;Times New Roman" w:ascii="Liberation Serif;Times New Roman" w:hAnsi="Liberation Serif;Times New Roman"/>
          <w:b/>
          <w:sz w:val="28"/>
          <w:szCs w:val="28"/>
        </w:rPr>
        <w:t xml:space="preserve">Системные мероприятия, направленные на развитие конкурентной среды </w:t>
      </w:r>
    </w:p>
    <w:p>
      <w:pPr>
        <w:pStyle w:val="Normal"/>
        <w:bidi w:val="0"/>
        <w:spacing w:lineRule="auto" w:line="240" w:before="0" w:after="0"/>
        <w:jc w:val="center"/>
        <w:rPr>
          <w:rFonts w:ascii="Liberation Serif;Times New Roman" w:hAnsi="Liberation Serif;Times New Roman" w:cs="Liberation Serif;Times New Roman"/>
          <w:b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sz w:val="28"/>
          <w:szCs w:val="28"/>
        </w:rPr>
        <w:t>в Камышловском городском округе</w:t>
      </w:r>
    </w:p>
    <w:p>
      <w:pPr>
        <w:pStyle w:val="Normal"/>
        <w:bidi w:val="0"/>
        <w:spacing w:lineRule="auto" w:line="240" w:before="0" w:after="0"/>
        <w:jc w:val="center"/>
        <w:rPr>
          <w:rFonts w:ascii="Liberation Serif;Times New Roman" w:hAnsi="Liberation Serif;Times New Roman" w:cs="Liberation Serif;Times New Roman"/>
          <w:b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b/>
          <w:sz w:val="24"/>
          <w:szCs w:val="24"/>
        </w:rPr>
      </w:r>
    </w:p>
    <w:p>
      <w:pPr>
        <w:pStyle w:val="Normal"/>
        <w:bidi w:val="0"/>
        <w:spacing w:lineRule="auto" w:line="19" w:before="0" w:after="0"/>
        <w:jc w:val="left"/>
        <w:rPr>
          <w:rFonts w:ascii="Liberation Serif;Times New Roman" w:hAnsi="Liberation Serif;Times New Roman" w:eastAsia="Liberation Serif;Times New Roman" w:cs="Liberation Serif;Times New Roman"/>
          <w:sz w:val="24"/>
          <w:szCs w:val="24"/>
        </w:rPr>
      </w:pPr>
      <w:r>
        <w:rPr>
          <w:rFonts w:eastAsia="Liberation Serif;Times New Roman" w:cs="Liberation Serif;Times New Roman" w:ascii="Liberation Serif;Times New Roman" w:hAnsi="Liberation Serif;Times New Roman"/>
          <w:sz w:val="24"/>
          <w:szCs w:val="24"/>
        </w:rPr>
        <w:t xml:space="preserve"> </w:t>
      </w:r>
    </w:p>
    <w:tbl>
      <w:tblPr>
        <w:tblW w:w="15765" w:type="dxa"/>
        <w:jc w:val="left"/>
        <w:tblInd w:w="-40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3821"/>
        <w:gridCol w:w="3751"/>
        <w:gridCol w:w="3200"/>
        <w:gridCol w:w="1422"/>
        <w:gridCol w:w="2577"/>
      </w:tblGrid>
      <w:tr>
        <w:trPr/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Номер строки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225" w:leader="none"/>
              </w:tabs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Результат мероприятий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Отчет о исполнении мероприятий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 xml:space="preserve">за 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 xml:space="preserve">1 полугодие 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>202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>3</w:t>
            </w:r>
          </w:p>
        </w:tc>
      </w:tr>
    </w:tbl>
    <w:p>
      <w:pPr>
        <w:pStyle w:val="Normal"/>
        <w:bidi w:val="0"/>
        <w:spacing w:lineRule="auto" w:line="7" w:before="0" w:after="0"/>
        <w:jc w:val="left"/>
        <w:rPr>
          <w:rFonts w:ascii="Liberation Serif;Times New Roman" w:hAnsi="Liberation Serif;Times New Roman" w:cs="Liberation Serif;Times New Roman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</w:rPr>
      </w:r>
    </w:p>
    <w:tbl>
      <w:tblPr>
        <w:tblW w:w="15765" w:type="dxa"/>
        <w:jc w:val="left"/>
        <w:tblInd w:w="-40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"/>
        <w:gridCol w:w="3829"/>
        <w:gridCol w:w="3751"/>
        <w:gridCol w:w="3285"/>
        <w:gridCol w:w="1334"/>
        <w:gridCol w:w="2580"/>
      </w:tblGrid>
      <w:tr>
        <w:trPr>
          <w:tblHeader w:val="true"/>
          <w:trHeight w:val="23" w:hRule="atLeast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2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3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4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5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6</w:t>
            </w:r>
          </w:p>
        </w:tc>
      </w:tr>
      <w:tr>
        <w:trPr>
          <w:trHeight w:val="23" w:hRule="atLeast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bidi w:val="0"/>
              <w:snapToGrid w:val="false"/>
              <w:spacing w:lineRule="auto" w:line="240" w:before="0" w:after="0"/>
              <w:ind w:left="-1" w:right="-541" w:hanging="36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</w:r>
          </w:p>
        </w:tc>
        <w:tc>
          <w:tcPr>
            <w:tcW w:w="147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b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sz w:val="24"/>
                <w:szCs w:val="24"/>
              </w:rPr>
              <w:t>Оптимизация (совершенствование) закупочной деятельности, в том числе за счет расширения участия в указанных процедурах субъектов малого и среднего бизнеса</w:t>
            </w:r>
          </w:p>
        </w:tc>
      </w:tr>
      <w:tr>
        <w:trPr>
          <w:trHeight w:val="1360" w:hRule="atLeast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bidi w:val="0"/>
              <w:snapToGrid w:val="false"/>
              <w:spacing w:lineRule="auto" w:line="240" w:before="0" w:after="0"/>
              <w:ind w:left="-1" w:right="-541" w:hanging="360"/>
              <w:jc w:val="center"/>
              <w:rPr>
                <w:rFonts w:ascii="Liberation Serif;Times New Roman" w:hAnsi="Liberation Serif;Times New Roman" w:cs="Liberation Serif;Times New Roman"/>
                <w:strike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trike/>
                <w:sz w:val="24"/>
                <w:szCs w:val="24"/>
              </w:rPr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Liberation Serif;Times New Roman" w:hAnsi="Liberation Serif;Times New Roman" w:eastAsia="Times New Roman" w:cs="Liberation Serif;Times New Roman"/>
                <w:sz w:val="24"/>
                <w:szCs w:val="24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</w:rPr>
              <w:t xml:space="preserve">Обеспечение прозрачности </w:t>
              <w:br/>
              <w:t>и доступности закупок товаров, работ, услуг, проводимых с использованием конкурентных способов определения поставщиков (подрядчиков, исполнителей), предусматривающих: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Liberation Serif;Times New Roman" w:hAnsi="Liberation Serif;Times New Roman" w:eastAsia="Times New Roman" w:cs="Liberation Serif;Times New Roman"/>
                <w:sz w:val="24"/>
                <w:szCs w:val="24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</w:rPr>
              <w:t>устранение случаев (снижение количества) осуществления закупки у единственного поставщика;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Liberation Serif;Times New Roman" w:hAnsi="Liberation Serif;Times New Roman" w:eastAsia="Times New Roman" w:cs="Liberation Serif;Times New Roman"/>
                <w:sz w:val="24"/>
                <w:szCs w:val="24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</w:rPr>
              <w:t xml:space="preserve">введение механизма оказания содействия участникам закупки </w:t>
              <w:br/>
              <w:t>по вопросам, связанным с получением электронной подписи, формированием заявок, а также правовым сопровождением при проведении закупок;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Liberation Serif;Times New Roman" w:hAnsi="Liberation Serif;Times New Roman" w:eastAsia="Times New Roman" w:cs="Liberation Serif;Times New Roman"/>
                <w:sz w:val="24"/>
                <w:szCs w:val="24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</w:rPr>
              <w:t>расширение участия субъектов МСП в закупках товаров, работ, услуг, проводимых с использованием конкурентных способов определения поставщиков (подрядчиков, исполнителей).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Liberation Serif;Times New Roman" w:hAnsi="Liberation Serif;Times New Roman" w:eastAsia="Times New Roman" w:cs="Liberation Serif;Times New Roman"/>
                <w:sz w:val="24"/>
                <w:szCs w:val="24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</w:rPr>
              <w:t xml:space="preserve">Создание условий, в соответствии </w:t>
              <w:br/>
              <w:t>с которыми хозяйствующие субъекты с муниципальным участием при допуске к участию в закупках товаров, работ, услуг для обеспечения муниципальных нужд принимают участие в указанных закупках на равных условиях с иными хозяйствующими субъектами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 xml:space="preserve">Обеспечение участия необходимого числа участников конкурентных процедур определения поставщиков (подрядчиков, исполнителей) </w:t>
              <w:br/>
              <w:t xml:space="preserve">при осуществлении закупок </w:t>
              <w:br/>
              <w:t>для обеспечения муниципальных нужд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 xml:space="preserve">среднее число участников конкурентных процедур определения поставщиков (подрядчиков, исполнителей) </w:t>
              <w:br/>
              <w:t>при осуществлении закупок для обеспечения муниципальных нужд: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/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202</w:t>
            </w:r>
            <w:r>
              <w:rPr>
                <w:rFonts w:eastAsia="Calibri" w:cs="Liberation Serif;Times New Roman" w:ascii="Liberation Serif;Times New Roman" w:hAnsi="Liberation Serif;Times New Roman"/>
                <w:color w:val="auto"/>
                <w:sz w:val="24"/>
                <w:szCs w:val="24"/>
                <w:lang w:val="ru-RU" w:eastAsia="zh-CN" w:bidi="ar-SA"/>
              </w:rPr>
              <w:t>2</w:t>
            </w: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 xml:space="preserve"> год – не менее </w:t>
              <w:br/>
              <w:t>3 участников;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 xml:space="preserve">2023 год – не менее </w:t>
              <w:br/>
              <w:t>3 частников;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2024 год – не менее</w:t>
              <w:br/>
              <w:t>3 частников;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2025 год – не менее</w:t>
              <w:br/>
              <w:t>3 частников.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2022–2025 годы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3 участника</w:t>
            </w:r>
          </w:p>
        </w:tc>
      </w:tr>
      <w:tr>
        <w:trPr>
          <w:trHeight w:val="23" w:hRule="atLeast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bidi w:val="0"/>
              <w:snapToGrid w:val="false"/>
              <w:spacing w:lineRule="auto" w:line="240" w:before="0" w:after="0"/>
              <w:ind w:left="-1" w:right="-541" w:hanging="36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</w:r>
          </w:p>
        </w:tc>
        <w:tc>
          <w:tcPr>
            <w:tcW w:w="147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bCs/>
                <w:iCs/>
                <w:sz w:val="24"/>
                <w:szCs w:val="24"/>
                <w:lang w:eastAsia="ru-RU"/>
              </w:rPr>
              <w:t>Устранение избыточного муниципального регулирования, снижение административных барьеров</w:t>
            </w:r>
          </w:p>
        </w:tc>
      </w:tr>
      <w:tr>
        <w:trPr>
          <w:trHeight w:val="23" w:hRule="atLeast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bidi w:val="0"/>
              <w:snapToGrid w:val="false"/>
              <w:spacing w:lineRule="auto" w:line="240" w:before="0" w:after="0"/>
              <w:ind w:left="-1" w:right="-541" w:hanging="360"/>
              <w:jc w:val="center"/>
              <w:rPr>
                <w:rFonts w:ascii="Liberation Serif;Times New Roman" w:hAnsi="Liberation Serif;Times New Roman" w:eastAsia="Times New Roman" w:cs="Liberation Serif;Times New Roman"/>
                <w:sz w:val="24"/>
                <w:szCs w:val="24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</w:rPr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Liberation Serif;Times New Roman" w:hAnsi="Liberation Serif;Times New Roman" w:eastAsia="Times New Roman" w:cs="Liberation Serif;Times New Roman"/>
                <w:sz w:val="24"/>
                <w:szCs w:val="24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</w:rPr>
              <w:t>Оптимизация процесса предоставления муниципальных услуг для субъектов предпринимательской деятельности путем сокращения сроков их предоставления, снижения стоимости предоставления таких услуг, а также перевода их предоставления в электронную форму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Liberation Serif;Times New Roman" w:hAnsi="Liberation Serif;Times New Roman" w:eastAsia="Times New Roman" w:cs="Liberation Serif;Times New Roman"/>
                <w:sz w:val="24"/>
                <w:szCs w:val="24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</w:rPr>
              <w:t xml:space="preserve">Обеспечение наличия </w:t>
              <w:br/>
              <w:t>на территории Камышловского городского округа административных регламентов предоставления муниципальной услуги по выдаче разрешений на строительство, которые применимы в том числе для выдачи  разрешения на строительство для целей возведения (создания) антенно-мачтовых сооружений (объектов) для услуг связи, муниципальной услуги по выдаче разрешений на строительство и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/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 xml:space="preserve">наличие утвержденных административных регламентов </w:t>
            </w:r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</w:rPr>
              <w:t>предоставления муниципальных услуг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2022–2025 годы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Постановлением администрации Камышловского городского округа от 17.04.2020 года №256 утвержден типовой административный регламент предоставления муниципальной услуги «Выдача разрешений на строительство объектов капитального строительства» и 18.02.2020 года №100 утвержден типовой административный регламент предоставления муниципальной услуги «Выдача разрешений на ввод в эксплуатацию объектов капитального строительства»</w:t>
            </w:r>
          </w:p>
        </w:tc>
      </w:tr>
      <w:tr>
        <w:trPr>
          <w:trHeight w:val="23" w:hRule="atLeast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bidi w:val="0"/>
              <w:snapToGrid w:val="false"/>
              <w:spacing w:lineRule="auto" w:line="240" w:before="0" w:after="0"/>
              <w:ind w:left="-1" w:right="-541" w:hanging="36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Liberation Serif;Times New Roman" w:hAnsi="Liberation Serif;Times New Roman" w:eastAsia="Times New Roman" w:cs="Liberation Serif;Times New Roman"/>
                <w:sz w:val="24"/>
                <w:szCs w:val="24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</w:rPr>
              <w:t>Устранение избыточного регулирования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/>
            </w:pPr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</w:rPr>
              <w:t xml:space="preserve">Обеспечение наличия </w:t>
              <w:br/>
              <w:t xml:space="preserve">в порядке проведения оценки регулирующего воздействия проектов нормативных правовых актов Камышловского городского округа и экспертизы нормативных правовых актов </w:t>
            </w:r>
            <w:r>
              <w:rPr>
                <w:rFonts w:eastAsia="Times New Roman" w:cs="Liberation Serif;Times New Roman" w:ascii="Liberation Serif;Times New Roman" w:hAnsi="Liberation Serif;Times New Roman"/>
                <w:color w:val="000000"/>
                <w:sz w:val="24"/>
                <w:szCs w:val="24"/>
                <w:lang w:val="ru-RU" w:eastAsia="zh-CN" w:bidi="ar-SA"/>
              </w:rPr>
              <w:t>Камышловского городского округа</w:t>
            </w:r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</w:rPr>
              <w:t>, устанавливаемых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Liberation Serif;Times New Roman" w:hAnsi="Liberation Serif;Times New Roman" w:eastAsia="Times New Roman" w:cs="Liberation Serif;Times New Roman"/>
                <w:sz w:val="24"/>
                <w:szCs w:val="24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</w:rPr>
      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Федерации», пунктов, предусматривающих анализ воздействия таких проектов актов на состояние конкуренции.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Liberation Serif;Times New Roman" w:hAnsi="Liberation Serif;Times New Roman" w:eastAsia="Times New Roman" w:cs="Liberation Serif;Times New Roman"/>
                <w:sz w:val="24"/>
                <w:szCs w:val="24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</w:rPr>
              <w:t xml:space="preserve">наличие в порядке проведения оценки регулирующего воздействия проектов нормативных правовых актов и экспертизы нормативных правовых актов муниципальных образований, устанавливаемых </w:t>
              <w:br/>
              <w:t xml:space="preserve">в соответствии </w:t>
              <w:br/>
              <w:t xml:space="preserve">с Федеральным законом </w:t>
              <w:br/>
              <w:t xml:space="preserve">от 6 октября 2003 года </w:t>
              <w:br/>
              <w:t>№ 131-ФЗ ««Об общих принципах организации местного самоуправления в Российской Федерации», пунктов, предусматривающих анализ воздействия таких проектов актов средней и высокой степени регулирующего воздействия на состояние конкуренции.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2022–2025 годы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Постановлением администрации Камышловского городского округа от 1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>6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>.0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>2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>.202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>2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 xml:space="preserve"> №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>131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 xml:space="preserve"> утвержден «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>П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>орядок проведения оценки регулирующего воздействия проектов нормативных правовых актов и экспертизы нормативных правовых актов Камышловского городского округа», предусматривающий анализ воздействия таких проектов актов на состояние конкуренции.</w:t>
            </w:r>
          </w:p>
        </w:tc>
      </w:tr>
      <w:tr>
        <w:trPr>
          <w:trHeight w:val="23" w:hRule="atLeast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bidi w:val="0"/>
              <w:snapToGrid w:val="false"/>
              <w:spacing w:lineRule="auto" w:line="240" w:before="0" w:after="0"/>
              <w:ind w:left="-1" w:right="-541" w:hanging="36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</w:r>
          </w:p>
        </w:tc>
        <w:tc>
          <w:tcPr>
            <w:tcW w:w="147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28" w:before="0" w:after="0"/>
              <w:ind w:left="-57" w:right="-57" w:hanging="0"/>
              <w:jc w:val="center"/>
              <w:textAlignment w:val="baseline"/>
              <w:rPr>
                <w:rFonts w:ascii="Liberation Serif;Times New Roman" w:hAnsi="Liberation Serif;Times New Roman" w:cs="Liberation Serif;Times New Roman"/>
                <w:b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sz w:val="24"/>
                <w:szCs w:val="24"/>
              </w:rPr>
              <w:t>Совершенствование процессов управления объектами муниципальной собственности, ограничение влияния муниципальных предприятий на конкуренцию, обеспечение доступа к информации о муниципальном имуществе</w:t>
            </w:r>
          </w:p>
        </w:tc>
      </w:tr>
      <w:tr>
        <w:trPr>
          <w:trHeight w:val="23" w:hRule="atLeast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bidi w:val="0"/>
              <w:spacing w:lineRule="auto" w:line="240" w:before="0" w:after="0"/>
              <w:ind w:left="-1" w:right="-541" w:hanging="360"/>
              <w:jc w:val="center"/>
              <w:rPr>
                <w:rFonts w:ascii="Liberation Serif;Times New Roman" w:hAnsi="Liberation Serif;Times New Roman" w:eastAsia="Liberation Serif;Times New Roman" w:cs="Liberation Serif;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3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Liberation Serif;Times New Roman" w:hAnsi="Liberation Serif;Times New Roman" w:eastAsia="Times New Roman" w:cs="Liberation Serif;Times New Roman"/>
                <w:sz w:val="24"/>
                <w:szCs w:val="24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</w:rPr>
              <w:t>Организация эффективного управления хозяйствующими субъектами с муниципальным участием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Liberation Serif;Times New Roman" w:hAnsi="Liberation Serif;Times New Roman" w:eastAsia="Times New Roman" w:cs="Liberation Serif;Times New Roman"/>
                <w:sz w:val="24"/>
                <w:szCs w:val="24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</w:rPr>
              <w:t>утверждение и реализация планового документа, направленного на эффективное управление муниципальными унитарными предприятиями, осуществляющими коммерческую деятельность, в котором содержатся в том числе показатели эффективности их деятельности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52" w:before="0" w:after="0"/>
              <w:jc w:val="left"/>
              <w:rPr>
                <w:rFonts w:ascii="Liberation Serif;Times New Roman" w:hAnsi="Liberation Serif;Times New Roman" w:eastAsia="Times New Roman" w:cs="Liberation Serif;Times New Roman"/>
                <w:sz w:val="24"/>
                <w:szCs w:val="24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</w:rPr>
              <w:t>ежегодно утверждаемые значения показателей экономической эффективности деятельности муниципальных унитарных предприятий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2022–2025 годы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/>
            </w:pPr>
            <w:r>
              <w:rPr>
                <w:rFonts w:cs="Liberation Serif" w:ascii="Liberation Serif" w:hAnsi="Liberation Serif"/>
              </w:rPr>
              <w:t>Постановлением главы Камышловского городского округа от 25.11.2016 года №1218 создана комиссия по рассмотрению результатов финансово – хозяйственной деятельности муниципальных унитарных предприятий Камышловского городского округа, обществ с ограниченной ответственностью и акционерных обществ, акции которых находятся в собственности Камышловского городского округа.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Заседания комиссии проходят ежеквартально, согласно утвержденного плана.</w:t>
            </w:r>
          </w:p>
        </w:tc>
      </w:tr>
      <w:tr>
        <w:trPr>
          <w:trHeight w:val="23" w:hRule="atLeast"/>
        </w:trPr>
        <w:tc>
          <w:tcPr>
            <w:tcW w:w="9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bidi w:val="0"/>
              <w:snapToGrid w:val="false"/>
              <w:spacing w:lineRule="auto" w:line="240" w:before="0" w:after="0"/>
              <w:ind w:left="-1" w:right="-541" w:hanging="360"/>
              <w:jc w:val="center"/>
              <w:rPr>
                <w:rFonts w:ascii="Liberation Serif;Times New Roman" w:hAnsi="Liberation Serif;Times New Roman" w:eastAsia="Liberation Serif;Times New Roman" w:cs="Liberation Serif;Times New Roman"/>
                <w:sz w:val="24"/>
                <w:szCs w:val="24"/>
              </w:rPr>
            </w:pPr>
            <w:r>
              <w:rPr>
                <w:rFonts w:eastAsia="Liberation Serif;Times New Roman" w:cs="Liberation Serif;Times New Roman" w:ascii="Liberation Serif;Times New Roman" w:hAnsi="Liberation Serif;Times New Roman"/>
                <w:sz w:val="24"/>
                <w:szCs w:val="24"/>
              </w:rPr>
            </w:r>
          </w:p>
        </w:tc>
        <w:tc>
          <w:tcPr>
            <w:tcW w:w="38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37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Liberation Serif;Times New Roman" w:hAnsi="Liberation Serif;Times New Roman" w:eastAsia="Times New Roman" w:cs="Liberation Serif;Times New Roman"/>
                <w:sz w:val="24"/>
                <w:szCs w:val="24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</w:rPr>
              <w:t>утверждение и реализация программы приватизации муниципальных унитарных предприятий и пакетов акций акционерных обществ, находящихся в собственности муниципальных образований</w:t>
            </w: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52" w:before="0" w:after="0"/>
              <w:jc w:val="left"/>
              <w:rPr>
                <w:rFonts w:ascii="Liberation Serif;Times New Roman" w:hAnsi="Liberation Serif;Times New Roman" w:eastAsia="Times New Roman" w:cs="Liberation Serif;Times New Roman"/>
                <w:sz w:val="24"/>
                <w:szCs w:val="24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</w:rPr>
              <w:t>ежегодно утверждаемая программа приватизации муниципальных унитарных предприятий и пакетов акций акционерных обществ, находящихся в собственности муниципальных образований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2022–2025 годы</w:t>
            </w:r>
          </w:p>
        </w:tc>
        <w:tc>
          <w:tcPr>
            <w:tcW w:w="2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в администрации Камышловского городского округа разработан план мероприятий по реформированию муниципальных унитарных предприятий, расположенных на территории Камышловского городского округа. План направлен в Министерство по управлению государственным имуществом Свердловской области.</w:t>
            </w:r>
          </w:p>
        </w:tc>
      </w:tr>
      <w:tr>
        <w:trPr>
          <w:trHeight w:val="23" w:hRule="atLeast"/>
        </w:trPr>
        <w:tc>
          <w:tcPr>
            <w:tcW w:w="9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bidi w:val="0"/>
              <w:snapToGrid w:val="false"/>
              <w:spacing w:lineRule="auto" w:line="240" w:before="0" w:after="0"/>
              <w:ind w:left="-1" w:right="-541" w:hanging="360"/>
              <w:jc w:val="center"/>
              <w:rPr>
                <w:rFonts w:ascii="Liberation Serif;Times New Roman" w:hAnsi="Liberation Serif;Times New Roman" w:eastAsia="Liberation Serif;Times New Roman" w:cs="Liberation Serif;Times New Roman"/>
                <w:sz w:val="24"/>
                <w:szCs w:val="24"/>
              </w:rPr>
            </w:pPr>
            <w:r>
              <w:rPr>
                <w:rFonts w:eastAsia="Liberation Serif;Times New Roman" w:cs="Liberation Serif;Times New Roman" w:ascii="Liberation Serif;Times New Roman" w:hAnsi="Liberation Serif;Times New Roman"/>
                <w:sz w:val="24"/>
                <w:szCs w:val="24"/>
              </w:rPr>
            </w:r>
          </w:p>
        </w:tc>
        <w:tc>
          <w:tcPr>
            <w:tcW w:w="38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Liberation Serif;Times New Roman" w:hAnsi="Liberation Serif;Times New Roman" w:eastAsia="Times New Roman" w:cs="Liberation Serif;Times New Roman"/>
                <w:sz w:val="24"/>
                <w:szCs w:val="24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</w:rPr>
              <w:t>Обеспечение публичности процедуры распоряжения имуществом хозяйствующих субъектов с муниципальным участием</w:t>
            </w:r>
          </w:p>
        </w:tc>
        <w:tc>
          <w:tcPr>
            <w:tcW w:w="37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Liberation Serif;Times New Roman" w:hAnsi="Liberation Serif;Times New Roman" w:eastAsia="Times New Roman" w:cs="Liberation Serif;Times New Roman"/>
                <w:sz w:val="24"/>
                <w:szCs w:val="24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</w:rPr>
              <w:t>организация и проведение публичных торгов или иных конкурентных способов определения поставщиков (подрядчиков, исполнителей) при реализации и предоставлении во владение и (или) пользование, в том числе субъектам МСП, имущества хозяйствующими субъектами, доля муниципального образования в которых составляет 50 и более процентов</w:t>
            </w: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52" w:before="0" w:after="0"/>
              <w:jc w:val="left"/>
              <w:rPr>
                <w:rFonts w:ascii="Liberation Serif;Times New Roman" w:hAnsi="Liberation Serif;Times New Roman" w:eastAsia="Times New Roman" w:cs="Liberation Serif;Times New Roman"/>
                <w:sz w:val="24"/>
                <w:szCs w:val="24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</w:rPr>
              <w:t>отсутствие</w:t>
            </w:r>
            <w:bookmarkStart w:id="5" w:name="__DdeLink__92658_1400332189"/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</w:rPr>
              <w:t xml:space="preserve"> актов реагирования</w:t>
            </w:r>
            <w:bookmarkEnd w:id="5"/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</w:rPr>
              <w:t xml:space="preserve"> </w:t>
            </w:r>
            <w:bookmarkStart w:id="6" w:name="__DdeLink__93733_1400332189"/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</w:rPr>
              <w:t>антимонопольного орган</w:t>
            </w:r>
            <w:bookmarkEnd w:id="6"/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</w:rPr>
              <w:t>а, вынесенных по результатам проверок хозяйствующих субъектов, доля участия муниципального образования в которых составляет 50 и более процентов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2022–2025 годы</w:t>
            </w:r>
          </w:p>
        </w:tc>
        <w:tc>
          <w:tcPr>
            <w:tcW w:w="2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52" w:before="0" w:after="0"/>
              <w:jc w:val="center"/>
              <w:rPr>
                <w:rFonts w:ascii="Liberation Serif;Times New Roman" w:hAnsi="Liberation Serif;Times New Roman" w:eastAsia="Times New Roman" w:cs="Liberation Serif;Times New Roman"/>
                <w:sz w:val="24"/>
                <w:szCs w:val="24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</w:rPr>
              <w:t>акты реагирования антимонопольного органа  отсутствуют</w:t>
            </w:r>
          </w:p>
        </w:tc>
      </w:tr>
      <w:tr>
        <w:trPr>
          <w:trHeight w:val="23" w:hRule="atLeast"/>
        </w:trPr>
        <w:tc>
          <w:tcPr>
            <w:tcW w:w="9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bidi w:val="0"/>
              <w:snapToGrid w:val="false"/>
              <w:spacing w:lineRule="auto" w:line="240" w:before="0" w:after="0"/>
              <w:ind w:left="-1" w:right="-541" w:hanging="360"/>
              <w:jc w:val="center"/>
              <w:rPr>
                <w:rFonts w:ascii="Liberation Serif;Times New Roman" w:hAnsi="Liberation Serif;Times New Roman" w:eastAsia="Liberation Serif;Times New Roman" w:cs="Liberation Serif;Times New Roman"/>
                <w:sz w:val="24"/>
                <w:szCs w:val="24"/>
              </w:rPr>
            </w:pPr>
            <w:r>
              <w:rPr>
                <w:rFonts w:eastAsia="Liberation Serif;Times New Roman" w:cs="Liberation Serif;Times New Roman" w:ascii="Liberation Serif;Times New Roman" w:hAnsi="Liberation Serif;Times New Roman"/>
                <w:sz w:val="24"/>
                <w:szCs w:val="24"/>
              </w:rPr>
            </w:r>
          </w:p>
        </w:tc>
        <w:tc>
          <w:tcPr>
            <w:tcW w:w="38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Liberation Serif;Times New Roman" w:hAnsi="Liberation Serif;Times New Roman" w:eastAsia="Times New Roman" w:cs="Liberation Serif;Times New Roman"/>
                <w:sz w:val="24"/>
                <w:szCs w:val="24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</w:rPr>
              <w:t>Обеспечение и сохранение целевого использования муниципальных объектов недвижимого имущества в социальной сфере</w:t>
            </w:r>
          </w:p>
        </w:tc>
        <w:tc>
          <w:tcPr>
            <w:tcW w:w="37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Liberation Serif;Times New Roman" w:hAnsi="Liberation Serif;Times New Roman" w:eastAsia="Times New Roman" w:cs="Liberation Serif;Times New Roman"/>
                <w:sz w:val="24"/>
                <w:szCs w:val="24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</w:rPr>
              <w:t>проведение контрольных мероприятий по проверке целевого использования объектов муниципального недвижимого имущества в социальной сфере</w:t>
            </w: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52" w:before="0" w:after="0"/>
              <w:jc w:val="left"/>
              <w:rPr>
                <w:rFonts w:ascii="Liberation Serif;Times New Roman" w:hAnsi="Liberation Serif;Times New Roman" w:eastAsia="Times New Roman" w:cs="Liberation Serif;Times New Roman"/>
                <w:sz w:val="24"/>
                <w:szCs w:val="24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</w:rPr>
              <w:t>подготовлены заключения по итогам проверки целевого использования объектов муниципального недвижимого имущества в социальной сфере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2022–2025 годы</w:t>
            </w:r>
          </w:p>
        </w:tc>
        <w:tc>
          <w:tcPr>
            <w:tcW w:w="2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28" w:before="0" w:after="0"/>
              <w:jc w:val="both"/>
              <w:rPr/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Постановлением главы Камышловского городского округа от 10.02.2016 года № 149 утверждено «Положение о порядке организации и осуществлении контроля за сохранностью и использованием по назначению муниципального имущества Камышловского городского округа». Работа по осуществлению контроля проводится в плановом режиме.</w:t>
            </w:r>
          </w:p>
          <w:p>
            <w:pPr>
              <w:pStyle w:val="Normal"/>
              <w:widowControl w:val="false"/>
              <w:bidi w:val="0"/>
              <w:spacing w:lineRule="auto" w:line="228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Постановлением администрации Камышловского городского округа № 197 от 23.03.2020 г. утверждена методика оценки эффективности использования объектов недвижимого имущества, находящегося в муниципальной собственности Камышловского городского округа.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Ежегодно проводится документарная проверка, по итогам которой подготовлены заключения.</w:t>
            </w:r>
          </w:p>
        </w:tc>
      </w:tr>
      <w:tr>
        <w:trPr>
          <w:trHeight w:val="23" w:hRule="atLeast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bidi w:val="0"/>
              <w:snapToGrid w:val="false"/>
              <w:spacing w:lineRule="auto" w:line="240" w:before="0" w:after="0"/>
              <w:ind w:left="-1" w:right="-541" w:hanging="36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</w:r>
          </w:p>
        </w:tc>
        <w:tc>
          <w:tcPr>
            <w:tcW w:w="3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/>
            </w:pPr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</w:rPr>
              <w:t>Создание</w:t>
            </w: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</w:rPr>
              <w:t xml:space="preserve">равных условий доступа </w:t>
              <w:br/>
              <w:t>к информации о муниципальном имуществе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52" w:before="0" w:after="0"/>
              <w:jc w:val="left"/>
              <w:rPr/>
            </w:pPr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</w:rPr>
              <w:t xml:space="preserve">размещение информации </w:t>
              <w:br/>
              <w:t xml:space="preserve">о государственном имуществе Свердловской области, находящемся в собственности муниципальных образований, в том числе имуществе, включаемом в перечни для предоставления </w:t>
              <w:br/>
              <w:t xml:space="preserve">на льготных условиях субъектам МСП, о реализации такого имущества и предоставлении его </w:t>
              <w:br/>
              <w:t xml:space="preserve">во владение и (или) пользование, </w:t>
              <w:br/>
              <w:t xml:space="preserve">путем размещения указанной информации </w:t>
              <w:br/>
              <w:t xml:space="preserve">на официальном сайте Российской Федерации в сети «Интернет» </w:t>
              <w:br/>
              <w:t xml:space="preserve">для размещения информации </w:t>
              <w:br/>
              <w:t>о проведении торгов (</w:t>
            </w:r>
            <w:hyperlink r:id="rId6">
              <w:r>
                <w:rPr>
                  <w:rFonts w:eastAsia="Times New Roman" w:cs="Liberation Serif;Times New Roman" w:ascii="Liberation Serif;Times New Roman" w:hAnsi="Liberation Serif;Times New Roman"/>
                  <w:sz w:val="24"/>
                  <w:szCs w:val="24"/>
                </w:rPr>
                <w:t>www.torgi.gov.ru</w:t>
              </w:r>
            </w:hyperlink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</w:rPr>
              <w:t xml:space="preserve">) </w:t>
              <w:br/>
              <w:t>и на официальном сайте Камышловского городского округа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Liberation Serif;Times New Roman" w:hAnsi="Liberation Serif;Times New Roman" w:eastAsia="Times New Roman" w:cs="Liberation Serif;Times New Roman"/>
                <w:sz w:val="24"/>
                <w:szCs w:val="24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</w:rPr>
              <w:t>опубликование актуальной информация на официальном сайте Камышловского городского округа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2022–2025 годы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Информация о проведении аукционов и конкурсов в отношении муниципального имущества размещается на официальном сайте Камышловского городского округа, на сайте www.torgi.gov.ru, в газете «Камышловские известия»</w:t>
            </w:r>
          </w:p>
        </w:tc>
      </w:tr>
      <w:tr>
        <w:trPr>
          <w:trHeight w:val="23" w:hRule="atLeast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bidi w:val="0"/>
              <w:snapToGrid w:val="false"/>
              <w:spacing w:lineRule="auto" w:line="240" w:before="0" w:after="0"/>
              <w:ind w:left="-1" w:right="-541" w:hanging="36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</w:r>
          </w:p>
        </w:tc>
        <w:tc>
          <w:tcPr>
            <w:tcW w:w="38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Liberation Serif;Times New Roman" w:hAnsi="Liberation Serif;Times New Roman" w:eastAsia="Times New Roman" w:cs="Liberation Serif;Times New Roman"/>
                <w:sz w:val="24"/>
                <w:szCs w:val="24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</w:rPr>
              <w:t xml:space="preserve">обеспечение опубликования </w:t>
              <w:br/>
              <w:t xml:space="preserve">и актуализации на официальном сайте Камышловского городского округа информации об объектах, находящихся в муниципальной собственности, включая сведения </w:t>
              <w:br/>
              <w:t xml:space="preserve">о наименованиях объектов, </w:t>
              <w:br/>
              <w:t>их местонахождении, характеристиках и целевом назначении, существующих ограничениях их использования и обременение правами третьих лиц (далее – объекты)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Опубликована информация об объектах на официальном сайте Камышловского городского округа, а также обеспечена ее ежеквартальная актуализация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Liberation Serif;Times New Roman" w:hAnsi="Liberation Serif;Times New Roman" w:eastAsia="Times New Roman" w:cs="Liberation Serif;Times New Roman"/>
                <w:sz w:val="24"/>
                <w:szCs w:val="24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Liberation Serif;Times New Roman" w:hAnsi="Liberation Serif;Times New Roman" w:eastAsia="Times New Roman" w:cs="Liberation Serif;Times New Roman"/>
                <w:sz w:val="24"/>
                <w:szCs w:val="24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eastAsia="Times New Roman" w:cs="Liberation Serif;Times New Roman"/>
                <w:sz w:val="24"/>
                <w:szCs w:val="24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</w:rPr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eastAsia="Times New Roman" w:cs="Liberation Serif;Times New Roman"/>
                <w:sz w:val="24"/>
                <w:szCs w:val="24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</w:rPr>
              <w:t>2022–2025 годы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актуальная информация об объектах муниципальной собственности размещается на официальных сайтах</w:t>
            </w: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 xml:space="preserve"> 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>Правительства Свердловской области и Камышловского городского округа.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</w:r>
          </w:p>
        </w:tc>
      </w:tr>
      <w:tr>
        <w:trPr>
          <w:trHeight w:val="23" w:hRule="atLeast"/>
        </w:trPr>
        <w:tc>
          <w:tcPr>
            <w:tcW w:w="9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bidi w:val="0"/>
              <w:snapToGrid w:val="false"/>
              <w:spacing w:lineRule="auto" w:line="240" w:before="0" w:after="0"/>
              <w:ind w:left="-1" w:right="-541" w:hanging="36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</w:r>
          </w:p>
        </w:tc>
        <w:tc>
          <w:tcPr>
            <w:tcW w:w="38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37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Liberation Serif;Times New Roman" w:hAnsi="Liberation Serif;Times New Roman" w:eastAsia="Times New Roman" w:cs="Liberation Serif;Times New Roman"/>
                <w:sz w:val="24"/>
                <w:szCs w:val="24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</w:rPr>
              <w:t>определение состава имущества,находящемся в собственности Камышловского городского округа,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</w:t>
            </w: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/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 xml:space="preserve">Сформирован перечень муниципального имущества, </w:t>
            </w:r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</w:rPr>
              <w:t>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eastAsia="Times New Roman" w:cs="Liberation Serif;Times New Roman"/>
                <w:sz w:val="24"/>
                <w:szCs w:val="24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</w:rPr>
              <w:t>2022-2023 годы</w:t>
            </w:r>
          </w:p>
        </w:tc>
        <w:tc>
          <w:tcPr>
            <w:tcW w:w="2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Style w:val="Style16"/>
                <w:rFonts w:eastAsia="Times New Roman" w:cs="Liberation Serif" w:ascii="Liberation Serif" w:hAnsi="Liberation Serif"/>
                <w:sz w:val="24"/>
                <w:szCs w:val="24"/>
              </w:rPr>
              <w:t xml:space="preserve"> </w:t>
            </w:r>
            <w:r>
              <w:rPr>
                <w:rStyle w:val="Style16"/>
                <w:rFonts w:eastAsia="Times New Roman" w:cs="Liberation Serif" w:ascii="Liberation Serif" w:hAnsi="Liberation Serif"/>
                <w:sz w:val="24"/>
                <w:szCs w:val="24"/>
              </w:rPr>
              <w:t>объекты, находящиеся в собственности Камышловского городского округа и включенные в перечень, не предоставлялись.</w:t>
            </w:r>
          </w:p>
        </w:tc>
      </w:tr>
      <w:tr>
        <w:trPr>
          <w:trHeight w:val="23" w:hRule="atLeast"/>
        </w:trPr>
        <w:tc>
          <w:tcPr>
            <w:tcW w:w="9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bidi w:val="0"/>
              <w:snapToGrid w:val="false"/>
              <w:spacing w:lineRule="auto" w:line="240" w:before="0" w:after="0"/>
              <w:ind w:left="-1" w:right="-541" w:hanging="36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</w:r>
          </w:p>
        </w:tc>
        <w:tc>
          <w:tcPr>
            <w:tcW w:w="38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37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left"/>
              <w:rPr>
                <w:rFonts w:ascii="Liberation Serif;Times New Roman" w:hAnsi="Liberation Serif;Times New Roman" w:eastAsia="Times New Roman" w:cs="Liberation Serif;Times New Roman"/>
                <w:sz w:val="24"/>
                <w:szCs w:val="24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</w:rPr>
              <w:t>Обеспечение приватизации либо перепрофилирования (изменение целевого назначения) имущества, находящегося в собственности Камышловского городского округа,не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</w:t>
            </w: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left"/>
              <w:rPr>
                <w:rFonts w:ascii="Liberation Serif;Times New Roman" w:hAnsi="Liberation Serif;Times New Roman" w:eastAsia="Times New Roman" w:cs="Liberation Serif;Times New Roman"/>
                <w:sz w:val="24"/>
                <w:szCs w:val="24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</w:rPr>
              <w:t>Проведены торги по продаже или мероприятия по перепрофилированию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</w:t>
            </w:r>
          </w:p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40" w:before="0" w:after="0"/>
              <w:ind w:left="-113" w:right="0" w:hanging="0"/>
              <w:rPr>
                <w:rFonts w:ascii="Liberation Serif;Times New Roman" w:hAnsi="Liberation Serif;Times New Roman" w:eastAsia="Liberation Serif;Times New Roman" w:cs="Liberation Serif;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Liberation Serif;Times New Roman" w:hAnsi="Liberation Serif;Times New Roman" w:eastAsia="Times New Roman" w:cs="Liberation Serif;Times New Roman"/>
                <w:sz w:val="24"/>
                <w:szCs w:val="24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</w:rPr>
              <w:t>2023-2025</w:t>
            </w:r>
          </w:p>
        </w:tc>
        <w:tc>
          <w:tcPr>
            <w:tcW w:w="2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Liberation Serif" w:hAnsi="Liberation Serif" w:eastAsia="Times New Roman" w:cs="Liberation Serif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</w:rPr>
              <w:t>торги не проводились</w:t>
            </w:r>
          </w:p>
        </w:tc>
      </w:tr>
      <w:tr>
        <w:trPr>
          <w:trHeight w:val="23" w:hRule="atLeast"/>
        </w:trPr>
        <w:tc>
          <w:tcPr>
            <w:tcW w:w="9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bidi w:val="0"/>
              <w:snapToGrid w:val="false"/>
              <w:spacing w:lineRule="auto" w:line="240" w:before="0" w:after="0"/>
              <w:ind w:left="-1" w:right="-541" w:hanging="360"/>
              <w:jc w:val="center"/>
              <w:rPr>
                <w:rFonts w:ascii="Liberation Serif;Times New Roman" w:hAnsi="Liberation Serif;Times New Roman" w:eastAsia="Times New Roman" w:cs="Liberation Serif;Times New Roman"/>
                <w:sz w:val="24"/>
                <w:szCs w:val="24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</w:rPr>
            </w:r>
          </w:p>
        </w:tc>
        <w:tc>
          <w:tcPr>
            <w:tcW w:w="1477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Liberation Serif;Times New Roman" w:hAnsi="Liberation Serif;Times New Roman" w:eastAsia="Times New Roman" w:cs="Liberation Serif;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/>
                <w:bCs/>
                <w:sz w:val="24"/>
                <w:szCs w:val="24"/>
              </w:rPr>
              <w:t>Поддержка МСП и индивидуальной предпринимательской инициативы, развитие муниципально-частного партнерства</w:t>
            </w:r>
          </w:p>
        </w:tc>
      </w:tr>
      <w:tr>
        <w:trPr>
          <w:trHeight w:val="23" w:hRule="atLeast"/>
        </w:trPr>
        <w:tc>
          <w:tcPr>
            <w:tcW w:w="9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bidi w:val="0"/>
              <w:snapToGrid w:val="false"/>
              <w:spacing w:lineRule="auto" w:line="240" w:before="0" w:after="0"/>
              <w:ind w:left="-1" w:right="-541" w:hanging="36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</w:r>
          </w:p>
        </w:tc>
        <w:tc>
          <w:tcPr>
            <w:tcW w:w="38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left"/>
              <w:rPr>
                <w:rFonts w:ascii="Liberation Serif;Times New Roman" w:hAnsi="Liberation Serif;Times New Roman" w:eastAsia="Times New Roman" w:cs="Liberation Serif;Times New Roman"/>
                <w:sz w:val="24"/>
                <w:szCs w:val="24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</w:rPr>
              <w:t>Развитие практики применения механизмов муниципально-частного партнерства, в том числе расширение практики заключения концессионных соглашений</w:t>
            </w:r>
          </w:p>
        </w:tc>
        <w:tc>
          <w:tcPr>
            <w:tcW w:w="37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left"/>
              <w:rPr>
                <w:rFonts w:ascii="Liberation Serif;Times New Roman" w:hAnsi="Liberation Serif;Times New Roman" w:eastAsia="Times New Roman" w:cs="Liberation Serif;Times New Roman"/>
                <w:sz w:val="24"/>
                <w:szCs w:val="24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</w:rPr>
              <w:t>Подготовка инвестиционных предложений с применением механизмов муниципально-частного партнерства, размещенных на официальном сайте РФ в сети «Интернет» для размещения информации о проведении торгов (www.torgi.gov.ru)</w:t>
            </w: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left"/>
              <w:rPr>
                <w:rFonts w:ascii="Liberation Serif;Times New Roman" w:hAnsi="Liberation Serif;Times New Roman" w:eastAsia="Times New Roman" w:cs="Liberation Serif;Times New Roman"/>
                <w:sz w:val="24"/>
                <w:szCs w:val="24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</w:rPr>
              <w:t>количество инвестиционных предложений с  применением механизмов муниципально-частного партнерства и посредством заключения концессионных соглашений (нарастающим итогом):</w:t>
            </w:r>
          </w:p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left"/>
              <w:rPr/>
            </w:pPr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</w:rPr>
              <w:t xml:space="preserve">2022 год - не менее </w:t>
            </w:r>
            <w:r>
              <w:rPr>
                <w:rFonts w:eastAsia="Times New Roman" w:cs="Liberation Serif;Times New Roman" w:ascii="Liberation Serif;Times New Roman" w:hAnsi="Liberation Serif;Times New Roman"/>
                <w:color w:val="000000"/>
                <w:sz w:val="24"/>
                <w:szCs w:val="24"/>
                <w:lang w:val="ru-RU" w:eastAsia="zh-CN" w:bidi="ar-SA"/>
              </w:rPr>
              <w:t>1</w:t>
            </w:r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</w:rPr>
              <w:t xml:space="preserve"> инвестиционного предложения;</w:t>
            </w:r>
          </w:p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left"/>
              <w:rPr/>
            </w:pPr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</w:rPr>
              <w:t xml:space="preserve">2023 год - не менее </w:t>
            </w:r>
            <w:r>
              <w:rPr>
                <w:rFonts w:eastAsia="Times New Roman" w:cs="Liberation Serif;Times New Roman" w:ascii="Liberation Serif;Times New Roman" w:hAnsi="Liberation Serif;Times New Roman"/>
                <w:color w:val="000000"/>
                <w:sz w:val="24"/>
                <w:szCs w:val="24"/>
                <w:lang w:val="ru-RU" w:eastAsia="zh-CN" w:bidi="ar-SA"/>
              </w:rPr>
              <w:t>1</w:t>
            </w:r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</w:rPr>
              <w:t xml:space="preserve"> инвестиционн</w:t>
            </w:r>
            <w:r>
              <w:rPr>
                <w:rFonts w:eastAsia="Times New Roman" w:cs="Liberation Serif;Times New Roman" w:ascii="Liberation Serif;Times New Roman" w:hAnsi="Liberation Serif;Times New Roman"/>
                <w:color w:val="auto"/>
                <w:sz w:val="24"/>
                <w:szCs w:val="24"/>
                <w:lang w:val="ru-RU" w:eastAsia="zh-CN" w:bidi="ar-SA"/>
              </w:rPr>
              <w:t xml:space="preserve">ого </w:t>
            </w:r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</w:rPr>
              <w:t>предложени</w:t>
            </w:r>
            <w:r>
              <w:rPr>
                <w:rFonts w:eastAsia="Times New Roman" w:cs="Liberation Serif;Times New Roman" w:ascii="Liberation Serif;Times New Roman" w:hAnsi="Liberation Serif;Times New Roman"/>
                <w:color w:val="auto"/>
                <w:sz w:val="24"/>
                <w:szCs w:val="24"/>
                <w:lang w:val="ru-RU" w:eastAsia="zh-CN" w:bidi="ar-SA"/>
              </w:rPr>
              <w:t>я</w:t>
            </w:r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</w:rPr>
              <w:t>;</w:t>
            </w:r>
          </w:p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left"/>
              <w:rPr/>
            </w:pPr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</w:rPr>
              <w:t xml:space="preserve">2024 год - не менее </w:t>
            </w:r>
            <w:r>
              <w:rPr>
                <w:rFonts w:eastAsia="Times New Roman" w:cs="Liberation Serif;Times New Roman" w:ascii="Liberation Serif;Times New Roman" w:hAnsi="Liberation Serif;Times New Roman"/>
                <w:color w:val="000000"/>
                <w:sz w:val="24"/>
                <w:szCs w:val="24"/>
                <w:lang w:val="ru-RU" w:eastAsia="zh-CN" w:bidi="ar-SA"/>
              </w:rPr>
              <w:t>2</w:t>
            </w:r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</w:rPr>
              <w:t xml:space="preserve"> инвестиционных предложений;</w:t>
            </w:r>
          </w:p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left"/>
              <w:rPr/>
            </w:pPr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</w:rPr>
              <w:t xml:space="preserve">2025 год - не менее </w:t>
            </w:r>
            <w:r>
              <w:rPr>
                <w:rFonts w:eastAsia="Times New Roman" w:cs="Liberation Serif;Times New Roman" w:ascii="Liberation Serif;Times New Roman" w:hAnsi="Liberation Serif;Times New Roman"/>
                <w:color w:val="000000"/>
                <w:sz w:val="24"/>
                <w:szCs w:val="24"/>
                <w:lang w:val="ru-RU" w:eastAsia="zh-CN" w:bidi="ar-SA"/>
              </w:rPr>
              <w:t>3</w:t>
            </w:r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</w:rPr>
              <w:t xml:space="preserve"> инвестиционных предложений</w:t>
            </w:r>
          </w:p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Liberation Serif;Times New Roman" w:hAnsi="Liberation Serif;Times New Roman" w:eastAsia="Times New Roman" w:cs="Liberation Serif;Times New Roman"/>
                <w:sz w:val="24"/>
                <w:szCs w:val="24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</w:rPr>
              <w:t>2022-2025 годы</w:t>
            </w:r>
          </w:p>
        </w:tc>
        <w:tc>
          <w:tcPr>
            <w:tcW w:w="2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перечень объектов, подлежащих заключению концессионных соглашений, размещен на сайте Камышловского городского округа.</w:t>
            </w:r>
          </w:p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both"/>
              <w:rPr>
                <w:rFonts w:ascii="Liberation Serif" w:hAnsi="Liberation Serif" w:eastAsia="Times New Roman" w:cs="Liberation Serif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</w:rPr>
              <w:t>Инвестиционных предложений не поступало.</w:t>
            </w:r>
          </w:p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both"/>
              <w:rPr>
                <w:rFonts w:ascii="Liberation Serif;Times New Roman" w:hAnsi="Liberation Serif;Times New Roman" w:eastAsia="Times New Roman" w:cs="Liberation Serif;Times New Roman"/>
                <w:sz w:val="24"/>
                <w:szCs w:val="24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</w:rPr>
            </w:r>
          </w:p>
        </w:tc>
      </w:tr>
      <w:tr>
        <w:trPr>
          <w:trHeight w:val="23" w:hRule="atLeast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bidi w:val="0"/>
              <w:snapToGrid w:val="false"/>
              <w:spacing w:lineRule="auto" w:line="228" w:before="0" w:after="0"/>
              <w:ind w:left="-1" w:right="-541" w:hanging="360"/>
              <w:jc w:val="center"/>
              <w:rPr>
                <w:rFonts w:ascii="Liberation Serif;Times New Roman" w:hAnsi="Liberation Serif;Times New Roman" w:eastAsia="Times New Roman" w:cs="Liberation Serif;Times New Roman"/>
                <w:sz w:val="24"/>
                <w:szCs w:val="24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</w:rPr>
            </w:r>
          </w:p>
        </w:tc>
        <w:tc>
          <w:tcPr>
            <w:tcW w:w="147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28" w:before="0" w:after="0"/>
              <w:jc w:val="center"/>
              <w:rPr>
                <w:rFonts w:ascii="Liberation Serif;Times New Roman" w:hAnsi="Liberation Serif;Times New Roman" w:cs="Liberation Serif;Times New Roman"/>
                <w:b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sz w:val="24"/>
                <w:szCs w:val="24"/>
                <w:lang w:eastAsia="ru-RU"/>
              </w:rPr>
              <w:t>Выравнивание условий конкуренции на товарных рынках и обеспечение соблюдения антимонопольного законодательства</w:t>
            </w:r>
          </w:p>
        </w:tc>
      </w:tr>
      <w:tr>
        <w:trPr>
          <w:trHeight w:val="23" w:hRule="atLeast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bidi w:val="0"/>
              <w:snapToGrid w:val="false"/>
              <w:spacing w:lineRule="auto" w:line="228" w:before="0" w:after="0"/>
              <w:ind w:left="-1" w:right="-541" w:hanging="360"/>
              <w:jc w:val="center"/>
              <w:rPr>
                <w:rFonts w:ascii="Liberation Serif;Times New Roman" w:hAnsi="Liberation Serif;Times New Roman" w:cs="Liberation Serif;Times New Roman"/>
                <w:b w:val="false"/>
                <w:bCs w:val="false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3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28" w:before="0" w:after="0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>Выравнивание условий конкуренции как в рамках товарных рынков внутри Свердловской области (включая темпы роста цен), так и между субъектами Российской Федерации (включая темпы роста и уровни цен)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28" w:before="0" w:after="0"/>
              <w:jc w:val="left"/>
              <w:rPr>
                <w:rFonts w:ascii="Liberation Serif;Times New Roman" w:hAnsi="Liberation Serif;Times New Roman" w:eastAsia="Times New Roman" w:cs="Liberation Serif;Times New Roman"/>
                <w:sz w:val="24"/>
                <w:szCs w:val="24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</w:rPr>
              <w:t>проведение мониторинга:</w:t>
            </w:r>
          </w:p>
          <w:p>
            <w:pPr>
              <w:pStyle w:val="Normal"/>
              <w:widowControl w:val="false"/>
              <w:bidi w:val="0"/>
              <w:spacing w:lineRule="auto" w:line="228" w:before="0" w:after="0"/>
              <w:jc w:val="left"/>
              <w:rPr>
                <w:rFonts w:ascii="Liberation Serif;Times New Roman" w:hAnsi="Liberation Serif;Times New Roman" w:eastAsia="Times New Roman" w:cs="Liberation Serif;Times New Roman"/>
                <w:sz w:val="24"/>
                <w:szCs w:val="24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</w:rPr>
              <w:t xml:space="preserve">наличия (отсутствия) административных барьеров </w:t>
              <w:br/>
              <w:t>и оценки состояния конкуренции субъектами предпринимательской деятельности;</w:t>
            </w:r>
          </w:p>
          <w:p>
            <w:pPr>
              <w:pStyle w:val="Normal"/>
              <w:widowControl w:val="false"/>
              <w:bidi w:val="0"/>
              <w:spacing w:lineRule="auto" w:line="228" w:before="0" w:after="0"/>
              <w:jc w:val="left"/>
              <w:rPr>
                <w:rFonts w:ascii="Liberation Serif;Times New Roman" w:hAnsi="Liberation Serif;Times New Roman" w:eastAsia="Times New Roman" w:cs="Liberation Serif;Times New Roman"/>
                <w:sz w:val="24"/>
                <w:szCs w:val="24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</w:rPr>
              <w:t xml:space="preserve">удовлетворенности потребителей качеством товаров, работ, услуг </w:t>
              <w:br/>
              <w:t>на товарных рынках и состоянием ценовой конкуренции;</w:t>
            </w:r>
          </w:p>
          <w:p>
            <w:pPr>
              <w:pStyle w:val="Normal"/>
              <w:widowControl w:val="false"/>
              <w:bidi w:val="0"/>
              <w:spacing w:lineRule="auto" w:line="228" w:before="0" w:after="0"/>
              <w:jc w:val="left"/>
              <w:rPr>
                <w:rFonts w:ascii="Liberation Serif;Times New Roman" w:hAnsi="Liberation Serif;Times New Roman" w:eastAsia="Times New Roman" w:cs="Liberation Serif;Times New Roman"/>
                <w:sz w:val="24"/>
                <w:szCs w:val="24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</w:rPr>
              <w:t xml:space="preserve">удовлетворенности субъектов предпринимательской деятельности и потребителей товаров, работ, услуг качеством (в том числе уровнем доступности, понятности </w:t>
              <w:br/>
              <w:t xml:space="preserve">и удобства получения) официальной информации о состоянии конкуренции на товарных рынках субъекта Российской Федерации </w:t>
              <w:br/>
              <w:t>и деятельности по содействию развитию конкуренции, размещаемой уполномоченным органом и администрацией Камышловского городского округа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28" w:before="0" w:after="0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предоставление ежегодного отчета о результатах мониторинга в Министерство инвестиций и развития Свердловской области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28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2022–2025 годы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ежегодный отчет о результатах мониторинга направлен в Министерство инвестиций и развития Свердловской области в установленный срок .</w:t>
            </w:r>
          </w:p>
        </w:tc>
      </w:tr>
      <w:tr>
        <w:trPr>
          <w:trHeight w:val="23" w:hRule="atLeast"/>
        </w:trPr>
        <w:tc>
          <w:tcPr>
            <w:tcW w:w="9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bidi w:val="0"/>
              <w:snapToGrid w:val="false"/>
              <w:spacing w:lineRule="auto" w:line="228" w:before="0" w:after="0"/>
              <w:ind w:left="-1" w:right="-541" w:hanging="360"/>
              <w:jc w:val="center"/>
              <w:rPr>
                <w:rFonts w:ascii="Liberation Serif;Times New Roman" w:hAnsi="Liberation Serif;Times New Roman" w:cs="Liberation Serif;Times New Roman"/>
                <w:b w:val="false"/>
                <w:bCs w:val="false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38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37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28" w:before="0" w:after="0"/>
              <w:jc w:val="left"/>
              <w:rPr>
                <w:rFonts w:ascii="Liberation Serif;Times New Roman" w:hAnsi="Liberation Serif;Times New Roman" w:eastAsia="Times New Roman" w:cs="Liberation Serif;Times New Roman"/>
                <w:sz w:val="24"/>
                <w:szCs w:val="24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</w:rPr>
              <w:t>проведение мониторинга деятельности хозяйствующих субъектов, доля участия муниципального образования в которых составляет 50 и более процентов</w:t>
            </w: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28" w:before="0" w:after="0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предоставление ежегодного отчета о результатах мониторинга в Министерство инвестиций и развития Свердловской области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28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2022–2025 годы</w:t>
            </w:r>
          </w:p>
        </w:tc>
        <w:tc>
          <w:tcPr>
            <w:tcW w:w="2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ежегодный отчет о результатах мониторинга направлен в Министерство инвестиций и развития Свердловской области в установленный срок .</w:t>
            </w:r>
          </w:p>
        </w:tc>
      </w:tr>
      <w:tr>
        <w:trPr>
          <w:trHeight w:val="23" w:hRule="atLeast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bidi w:val="0"/>
              <w:snapToGrid w:val="false"/>
              <w:spacing w:lineRule="auto" w:line="240" w:before="0" w:after="0"/>
              <w:ind w:left="-1" w:right="-541" w:hanging="36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</w:r>
          </w:p>
        </w:tc>
        <w:tc>
          <w:tcPr>
            <w:tcW w:w="38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28" w:before="0" w:after="0"/>
              <w:jc w:val="left"/>
              <w:rPr/>
            </w:pPr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</w:rPr>
              <w:t>Проведение мониторингов:</w:t>
            </w: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</w:rPr>
              <w:t xml:space="preserve">удовлетворенности населения деятельностью в сфере финансовых услуг, осуществляемой </w:t>
              <w:br/>
              <w:t>на территории Свердловской области;</w:t>
            </w:r>
          </w:p>
          <w:p>
            <w:pPr>
              <w:pStyle w:val="Normal"/>
              <w:widowControl w:val="false"/>
              <w:bidi w:val="0"/>
              <w:spacing w:lineRule="auto" w:line="228" w:before="0" w:after="0"/>
              <w:jc w:val="left"/>
              <w:rPr>
                <w:rFonts w:ascii="Liberation Serif;Times New Roman" w:hAnsi="Liberation Serif;Times New Roman" w:eastAsia="Times New Roman" w:cs="Liberation Serif;Times New Roman"/>
                <w:sz w:val="24"/>
                <w:szCs w:val="24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</w:rPr>
              <w:t>доступности для населения финансовых услуг, оказываемых на территории Свердловской области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28" w:before="0" w:after="0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предоставление ежегодного отчета о результатах мониторингов в Министерство инвестиций и развития Свердловской области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28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2022–2025 годы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ежегодный отчет о результатах мониторинга направлен в Министерство инвестиций и развития Свердловской области в установленный срок .</w:t>
            </w:r>
          </w:p>
        </w:tc>
      </w:tr>
      <w:tr>
        <w:trPr>
          <w:trHeight w:val="23" w:hRule="atLeast"/>
        </w:trPr>
        <w:tc>
          <w:tcPr>
            <w:tcW w:w="9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bidi w:val="0"/>
              <w:snapToGrid w:val="false"/>
              <w:spacing w:lineRule="auto" w:line="240" w:before="0" w:after="0"/>
              <w:ind w:left="-1" w:right="-541" w:hanging="36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</w:r>
          </w:p>
        </w:tc>
        <w:tc>
          <w:tcPr>
            <w:tcW w:w="1477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28" w:before="0" w:after="0"/>
              <w:jc w:val="center"/>
              <w:rPr>
                <w:rFonts w:ascii="Liberation Serif;Times New Roman" w:hAnsi="Liberation Serif;Times New Roman" w:cs="Liberation Serif;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bCs/>
                <w:sz w:val="24"/>
                <w:szCs w:val="24"/>
                <w:lang w:eastAsia="ru-RU"/>
              </w:rPr>
              <w:t>Развитие торговой деятельности</w:t>
            </w:r>
          </w:p>
        </w:tc>
      </w:tr>
      <w:tr>
        <w:trPr>
          <w:trHeight w:val="23" w:hRule="atLeast"/>
        </w:trPr>
        <w:tc>
          <w:tcPr>
            <w:tcW w:w="9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bidi w:val="0"/>
              <w:snapToGrid w:val="false"/>
              <w:spacing w:lineRule="auto" w:line="240" w:before="0" w:after="0"/>
              <w:ind w:left="-1" w:right="-541" w:hanging="36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</w:r>
          </w:p>
        </w:tc>
        <w:tc>
          <w:tcPr>
            <w:tcW w:w="38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28" w:before="0" w:after="0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>Обеспечение увеличения количества нестационарных торговых объектов</w:t>
            </w:r>
          </w:p>
        </w:tc>
        <w:tc>
          <w:tcPr>
            <w:tcW w:w="37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28" w:before="0" w:after="0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Содействие развитию торговой сети в Камышловском городском округе в части наличия нестационарных торговых объектов</w:t>
            </w: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28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 xml:space="preserve">количество нестационарных торговых объектов и торговых мест под них увеличено не менее чем </w:t>
              <w:br/>
              <w:t>на 10% к 2025 году по отношению к 2020 году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28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2022-2025 годы</w:t>
            </w:r>
          </w:p>
        </w:tc>
        <w:tc>
          <w:tcPr>
            <w:tcW w:w="2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28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увеличение по отношению к 2020 году произошло на 1% (в 2020 году количество нестационарных торговых объектов 51, в 2022 году 52)</w:t>
            </w:r>
          </w:p>
        </w:tc>
      </w:tr>
    </w:tbl>
    <w:p>
      <w:pPr>
        <w:pStyle w:val="Normal"/>
        <w:tabs>
          <w:tab w:val="clear" w:pos="709"/>
          <w:tab w:val="left" w:pos="1260" w:leader="none"/>
        </w:tabs>
        <w:bidi w:val="0"/>
        <w:spacing w:before="0" w:after="160"/>
        <w:jc w:val="left"/>
        <w:rPr>
          <w:rFonts w:ascii="Liberation Serif;Times New Roman" w:hAnsi="Liberation Serif;Times New Roman" w:cs="Liberation Serif;Times New Roman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</w:rPr>
      </w:r>
    </w:p>
    <w:p>
      <w:pPr>
        <w:pStyle w:val="Normal"/>
        <w:tabs>
          <w:tab w:val="clear" w:pos="709"/>
          <w:tab w:val="left" w:pos="1260" w:leader="none"/>
        </w:tabs>
        <w:bidi w:val="0"/>
        <w:spacing w:before="0" w:after="160"/>
        <w:jc w:val="left"/>
        <w:rPr>
          <w:rFonts w:ascii="Liberation Serif;Times New Roman" w:hAnsi="Liberation Serif;Times New Roman" w:cs="Liberation Serif;Times New Roman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</w:rPr>
      </w:r>
    </w:p>
    <w:p>
      <w:pPr>
        <w:pStyle w:val="Normal"/>
        <w:tabs>
          <w:tab w:val="clear" w:pos="709"/>
          <w:tab w:val="left" w:pos="1260" w:leader="none"/>
        </w:tabs>
        <w:bidi w:val="0"/>
        <w:spacing w:before="0" w:after="160"/>
        <w:jc w:val="left"/>
        <w:rPr>
          <w:rFonts w:ascii="Liberation Serif;Times New Roman" w:hAnsi="Liberation Serif;Times New Roman" w:cs="Liberation Serif;Times New Roman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</w:rPr>
      </w:r>
    </w:p>
    <w:p>
      <w:pPr>
        <w:pStyle w:val="Normal"/>
        <w:tabs>
          <w:tab w:val="clear" w:pos="709"/>
          <w:tab w:val="left" w:pos="1260" w:leader="none"/>
        </w:tabs>
        <w:bidi w:val="0"/>
        <w:spacing w:before="0" w:after="160"/>
        <w:jc w:val="left"/>
        <w:rPr>
          <w:rFonts w:ascii="Liberation Serif;Times New Roman" w:hAnsi="Liberation Serif;Times New Roman" w:cs="Liberation Serif;Times New Roman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Liberation Serif;Times New Roman" w:hAnsi="Liberation Serif;Times New Roman" w:cs="Liberation Serif;Times New Roman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Liberation Serif;Times New Roman" w:hAnsi="Liberation Serif;Times New Roman" w:cs="Liberation Serif;Times New Roman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</w:rPr>
      </w:r>
      <w:bookmarkStart w:id="7" w:name="__DdeLink__93767_14003321891"/>
      <w:bookmarkStart w:id="8" w:name="__DdeLink__93767_14003321891"/>
      <w:bookmarkEnd w:id="8"/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Liberation Serif;Times New Roman" w:hAnsi="Liberation Serif;Times New Roman" w:cs="Liberation Serif;Times New Roman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/>
      </w:pPr>
      <w:r>
        <w:rPr/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/>
      </w:pPr>
      <w:r>
        <w:rPr/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/>
      </w:pPr>
      <w:r>
        <w:rPr/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Liberation Serif;Times New Roman" w:hAnsi="Liberation Serif;Times New Roman" w:cs="Liberation Serif;Times New Roman"/>
          <w:sz w:val="24"/>
          <w:szCs w:val="24"/>
        </w:rPr>
      </w:pPr>
      <w:r>
        <w:rPr/>
      </w:r>
    </w:p>
    <w:sectPr>
      <w:headerReference w:type="default" r:id="rId7"/>
      <w:headerReference w:type="first" r:id="rId8"/>
      <w:type w:val="nextPage"/>
      <w:pgSz w:orient="landscape" w:w="16838" w:h="11906"/>
      <w:pgMar w:left="1134" w:right="1134" w:gutter="0" w:header="708" w:top="851" w:footer="0" w:bottom="709"/>
      <w:pgNumType w:fmt="decimal"/>
      <w:formProt w:val="false"/>
      <w:titlePg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4"/>
      <w:bidi w:val="0"/>
      <w:jc w:val="center"/>
      <w:rPr>
        <w:rFonts w:ascii="Liberation Serif;Times New Roman" w:hAnsi="Liberation Serif;Times New Roman" w:cs="Liberation Serif;Times New Roman"/>
        <w:sz w:val="28"/>
      </w:rPr>
    </w:pPr>
    <w:r>
      <w:rPr>
        <w:rFonts w:cs="Liberation Serif;Times New Roman" w:ascii="Liberation Serif;Times New Roman" w:hAnsi="Liberation Serif;Times New Roman"/>
        <w:sz w:val="28"/>
      </w:rPr>
      <w:fldChar w:fldCharType="begin"/>
    </w:r>
    <w:r>
      <w:rPr>
        <w:sz w:val="28"/>
        <w:rFonts w:cs="Liberation Serif;Times New Roman" w:ascii="Liberation Serif;Times New Roman" w:hAnsi="Liberation Serif;Times New Roman"/>
      </w:rPr>
      <w:instrText xml:space="preserve"> PAGE </w:instrText>
    </w:r>
    <w:r>
      <w:rPr>
        <w:sz w:val="28"/>
        <w:rFonts w:cs="Liberation Serif;Times New Roman" w:ascii="Liberation Serif;Times New Roman" w:hAnsi="Liberation Serif;Times New Roman"/>
      </w:rPr>
      <w:fldChar w:fldCharType="separate"/>
    </w:r>
    <w:r>
      <w:rPr>
        <w:sz w:val="28"/>
        <w:rFonts w:cs="Liberation Serif;Times New Roman" w:ascii="Liberation Serif;Times New Roman" w:hAnsi="Liberation Serif;Times New Roman"/>
      </w:rPr>
      <w:t>22</w:t>
    </w:r>
    <w:r>
      <w:rPr>
        <w:sz w:val="28"/>
        <w:rFonts w:cs="Liberation Serif;Times New Roman" w:ascii="Liberation Serif;Times New Roman" w:hAnsi="Liberation Serif;Times New Roman"/>
      </w:rPr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4"/>
      <w:bidi w:val="0"/>
      <w:jc w:val="center"/>
      <w:rPr>
        <w:rFonts w:ascii="Liberation Serif;Times New Roman" w:hAnsi="Liberation Serif;Times New Roman" w:cs="Liberation Serif;Times New Roman"/>
        <w:sz w:val="28"/>
        <w:szCs w:val="28"/>
      </w:rPr>
    </w:pPr>
    <w:r>
      <w:rPr>
        <w:rFonts w:cs="Liberation Serif;Times New Roman" w:ascii="Liberation Serif;Times New Roman" w:hAnsi="Liberation Serif;Times New Roman"/>
        <w:sz w:val="28"/>
        <w:szCs w:val="28"/>
      </w:rPr>
      <w:fldChar w:fldCharType="begin"/>
    </w:r>
    <w:r>
      <w:rPr>
        <w:sz w:val="28"/>
        <w:szCs w:val="28"/>
        <w:rFonts w:cs="Liberation Serif;Times New Roman" w:ascii="Liberation Serif;Times New Roman" w:hAnsi="Liberation Serif;Times New Roman"/>
      </w:rPr>
      <w:instrText xml:space="preserve"> PAGE </w:instrText>
    </w:r>
    <w:r>
      <w:rPr>
        <w:sz w:val="28"/>
        <w:szCs w:val="28"/>
        <w:rFonts w:cs="Liberation Serif;Times New Roman" w:ascii="Liberation Serif;Times New Roman" w:hAnsi="Liberation Serif;Times New Roman"/>
      </w:rPr>
      <w:fldChar w:fldCharType="separate"/>
    </w:r>
    <w:r>
      <w:rPr>
        <w:sz w:val="28"/>
        <w:szCs w:val="28"/>
        <w:rFonts w:cs="Liberation Serif;Times New Roman" w:ascii="Liberation Serif;Times New Roman" w:hAnsi="Liberation Serif;Times New Roman"/>
      </w:rPr>
      <w:t>13</w:t>
    </w:r>
    <w:r>
      <w:rPr>
        <w:sz w:val="28"/>
        <w:szCs w:val="28"/>
        <w:rFonts w:cs="Liberation Serif;Times New Roman" w:ascii="Liberation Serif;Times New Roman" w:hAnsi="Liberation Serif;Times New Roman"/>
      </w:rPr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b w:val="fals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  <w:rPr>
        <w:dstrike w:val="false"/>
        <w:strike w:val="false"/>
        <w:b w:val="false"/>
        <w:bCs w:val="false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885" w:hanging="525"/>
      </w:pPr>
      <w:rPr>
        <w:dstrike w:val="false"/>
        <w:strike w:val="false"/>
        <w:b w:val="false"/>
        <w:bCs w:val="fals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dstrike w:val="false"/>
        <w:strike w:val="false"/>
        <w:b w:val="false"/>
        <w:bCs w:val="fals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dstrike w:val="false"/>
        <w:strike w:val="false"/>
        <w:b w:val="false"/>
        <w:bCs w:val="fals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dstrike w:val="false"/>
        <w:strike w:val="false"/>
        <w:b w:val="false"/>
        <w:bCs w:val="fals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dstrike w:val="false"/>
        <w:strike w:val="false"/>
        <w:b w:val="false"/>
        <w:bCs w:val="fals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dstrike w:val="false"/>
        <w:strike w:val="false"/>
        <w:b w:val="false"/>
        <w:bCs w:val="fals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dstrike w:val="false"/>
        <w:strike w:val="false"/>
        <w:b w:val="false"/>
        <w:bCs w:val="fals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dstrike w:val="false"/>
        <w:strike w:val="false"/>
        <w:b w:val="false"/>
        <w:bCs w:val="false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Tahoma" w:cs="Noto Sans Devanagari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PT Astra Serif" w:hAnsi="PT Astra Serif" w:eastAsia="Tahoma" w:cs="Noto Sans Devanagari"/>
      <w:color w:val="auto"/>
      <w:kern w:val="2"/>
      <w:sz w:val="24"/>
      <w:szCs w:val="24"/>
      <w:lang w:val="ru-RU" w:eastAsia="zh-CN" w:bidi="hi-IN"/>
    </w:rPr>
  </w:style>
  <w:style w:type="character" w:styleId="WW8Num3z0">
    <w:name w:val="WW8Num3z0"/>
    <w:qFormat/>
    <w:rPr>
      <w:b w:val="false"/>
    </w:rPr>
  </w:style>
  <w:style w:type="character" w:styleId="WW8Num2z0">
    <w:name w:val="WW8Num2z0"/>
    <w:qFormat/>
    <w:rPr>
      <w:b w:val="false"/>
      <w:bCs w:val="false"/>
      <w:strike w:val="false"/>
      <w:dstrike w:val="false"/>
    </w:rPr>
  </w:style>
  <w:style w:type="character" w:styleId="-">
    <w:name w:val="Hyperlink"/>
    <w:rPr>
      <w:color w:val="0563C1"/>
      <w:u w:val="single"/>
    </w:rPr>
  </w:style>
  <w:style w:type="character" w:styleId="Style14">
    <w:name w:val="FollowedHyperlink"/>
    <w:rPr>
      <w:color w:val="954F72"/>
      <w:u w:val="single"/>
    </w:rPr>
  </w:style>
  <w:style w:type="character" w:styleId="Style15">
    <w:name w:val="Символ нумерации"/>
    <w:qFormat/>
    <w:rPr/>
  </w:style>
  <w:style w:type="character" w:styleId="Style16">
    <w:name w:val="Основной шрифт абзаца"/>
    <w:qFormat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ascii="PT Astra Serif" w:hAnsi="PT Astra Serif" w:cs="Noto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2">
    <w:name w:val="Верхний и нижний колонтитулы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3">
    <w:name w:val="Колонтитул"/>
    <w:basedOn w:val="Normal"/>
    <w:qFormat/>
    <w:pPr/>
    <w:rPr/>
  </w:style>
  <w:style w:type="paragraph" w:styleId="Style24">
    <w:name w:val="Header"/>
    <w:basedOn w:val="Normal"/>
    <w:pPr>
      <w:spacing w:lineRule="auto" w:line="240" w:before="0" w:after="0"/>
    </w:pPr>
    <w:rPr/>
  </w:style>
  <w:style w:type="paragraph" w:styleId="Style25">
    <w:name w:val="Содержимое таблицы"/>
    <w:basedOn w:val="Normal"/>
    <w:qFormat/>
    <w:pPr>
      <w:suppressLineNumbers/>
    </w:pPr>
    <w:rPr/>
  </w:style>
  <w:style w:type="numbering" w:styleId="WW8Num3">
    <w:name w:val="WW8Num3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gorod-kamyshlov.ru/communal/buildingadvert/" TargetMode="External"/><Relationship Id="rId3" Type="http://schemas.openxmlformats.org/officeDocument/2006/relationships/hyperlink" Target="http://gorod-kamyshlov.ru/communal/buildingadvert/" TargetMode="External"/><Relationship Id="rId4" Type="http://schemas.openxmlformats.org/officeDocument/2006/relationships/hyperlink" Target="http://gorod-kamyshlov.ru/economy/consumerenterprises/" TargetMode="External"/><Relationship Id="rId5" Type="http://schemas.openxmlformats.org/officeDocument/2006/relationships/hyperlink" Target="http://gorod-kamyshlov.ru/economy/consumerenterprises/" TargetMode="External"/><Relationship Id="rId6" Type="http://schemas.openxmlformats.org/officeDocument/2006/relationships/hyperlink" Target="http://www.torgi.gov.ru/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209</TotalTime>
  <Application>LibreOffice/7.5.2.1$Linux_X86_64 LibreOffice_project/50$Build-1</Application>
  <AppVersion>15.0000</AppVersion>
  <Pages>22</Pages>
  <Words>4604</Words>
  <Characters>34945</Characters>
  <CharactersWithSpaces>39296</CharactersWithSpaces>
  <Paragraphs>499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2022-07-11T11:29:17Z</dcterms:created>
  <dc:creator/>
  <dc:description/>
  <dc:language>ru-RU</dc:language>
  <cp:lastModifiedBy/>
  <dcterms:modified xsi:type="dcterms:W3CDTF">2023-06-27T13:26:13Z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