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1"/>
        <w:widowControl/>
        <w:bidi w:val="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6" t="-191" r="-296" b="-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widowControl/>
        <w:bidi w:val="0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31"/>
        <w:widowControl/>
        <w:bidi w:val="0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Р А С П О Р Я Ж Е Н И Е</w:t>
      </w:r>
    </w:p>
    <w:p>
      <w:pPr>
        <w:pStyle w:val="Style31"/>
        <w:widowControl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" w:hAnsi="Liberation Serif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i w:val="false"/>
          <w:iCs w:val="false"/>
          <w:sz w:val="28"/>
          <w:szCs w:val="28"/>
        </w:rPr>
      </w:r>
    </w:p>
    <w:p>
      <w:pPr>
        <w:pStyle w:val="Style31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i w:val="false"/>
          <w:i w:val="false"/>
        </w:rPr>
      </w:pPr>
      <w:r>
        <w:rPr>
          <w:rStyle w:val="Style19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9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06.03</w:t>
      </w:r>
      <w:r>
        <w:rPr>
          <w:rStyle w:val="Style19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.2023 № 57</w:t>
      </w:r>
    </w:p>
    <w:p>
      <w:pPr>
        <w:pStyle w:val="Style31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Style31"/>
        <w:spacing w:lineRule="auto" w:line="240" w:before="0" w:after="0"/>
        <w:ind w:left="0" w:right="0" w:hanging="0"/>
        <w:jc w:val="center"/>
        <w:rPr/>
      </w:pPr>
      <w:bookmarkStart w:id="0" w:name="__DdeLink__170_781763288"/>
      <w:bookmarkEnd w:id="0"/>
      <w:r>
        <w:rPr>
          <w:rStyle w:val="Style19"/>
          <w:rFonts w:ascii="Liberation Serif" w:hAnsi="Liberation Serif"/>
          <w:i w:val="false"/>
          <w:color w:val="000000"/>
        </w:rPr>
        <w:t xml:space="preserve">Об утверждении доклада о правоприменительной практике </w:t>
      </w:r>
    </w:p>
    <w:p>
      <w:pPr>
        <w:pStyle w:val="Style31"/>
        <w:spacing w:lineRule="auto" w:line="240" w:before="0" w:after="0"/>
        <w:ind w:left="0" w:right="0" w:hanging="0"/>
        <w:jc w:val="center"/>
        <w:rPr/>
      </w:pPr>
      <w:r>
        <w:rPr>
          <w:rStyle w:val="Style19"/>
          <w:rFonts w:ascii="Liberation Serif" w:hAnsi="Liberation Serif"/>
          <w:i w:val="false"/>
          <w:color w:val="000000"/>
        </w:rPr>
        <w:t xml:space="preserve">по результатам осуществления муниципального лесного контроля </w:t>
      </w:r>
    </w:p>
    <w:p>
      <w:pPr>
        <w:pStyle w:val="Style31"/>
        <w:spacing w:lineRule="auto" w:line="240" w:before="0" w:after="0"/>
        <w:ind w:left="0" w:right="0" w:hanging="0"/>
        <w:jc w:val="center"/>
        <w:rPr/>
      </w:pPr>
      <w:r>
        <w:rPr>
          <w:rStyle w:val="Style19"/>
          <w:rFonts w:ascii="Liberation Serif" w:hAnsi="Liberation Serif"/>
          <w:i w:val="false"/>
          <w:color w:val="000000"/>
        </w:rPr>
        <w:t>на территории Камышловского городского округа за 2022 год</w:t>
      </w:r>
      <w:r>
        <w:rPr>
          <w:rStyle w:val="Style19"/>
          <w:rFonts w:ascii="Liberation Serif" w:hAnsi="Liberation Serif"/>
        </w:rPr>
        <w:tab/>
      </w:r>
    </w:p>
    <w:p>
      <w:pPr>
        <w:pStyle w:val="Style31"/>
        <w:spacing w:lineRule="auto" w:line="240" w:before="0" w:after="0"/>
        <w:ind w:left="0" w:right="0" w:hanging="0"/>
        <w:jc w:val="center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0" w:right="0" w:firstLine="737"/>
        <w:jc w:val="both"/>
        <w:textAlignment w:val="auto"/>
        <w:rPr/>
      </w:pPr>
      <w:r>
        <w:rPr>
          <w:sz w:val="28"/>
          <w:szCs w:val="28"/>
        </w:rPr>
        <w:t xml:space="preserve">В соответствии со статьями 84, 98 Лесного кодекса Российской Федерации, Федеральным законом от 31 июля 2020 года №248-ФЗ «О государственном контроле (надзоре) и муниципальном контроле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Положением о муниципальном лесном контроле на территории Камышловского городского округа, утвержденным Решением Думы Камышловского городского округа от 15.09.2021 года №643, </w:t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1. Утвердить доклад о правоприменительной практике по результатам осуществления муниципального лесного контроля на территории Камышловского городского округа за 2022 год</w:t>
        <w:tab/>
        <w:t xml:space="preserve"> (далее – доклад о правоприменительной практике) (прилагается).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2. Опубликовать доклад о правоприменительной практике по результатам осуществления муниципального лесного контроля на территории Камышловского городского округа за 2022 год на официальном сайте администрации Камышловского городского округа в сети «Интернет».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9"/>
          <w:rFonts w:ascii="Liberation Serif" w:hAnsi="Liberation Serif"/>
          <w:sz w:val="28"/>
          <w:szCs w:val="28"/>
        </w:rPr>
        <w:t>3. Контроль за исполнением настоящего распоряжения возложить на председателя комитета по управлению имуществом и земельным ресурсам администрации Камышловского городского округа Н.Б. Макарову.</w:t>
      </w:r>
    </w:p>
    <w:p>
      <w:pPr>
        <w:pStyle w:val="Style31"/>
        <w:tabs>
          <w:tab w:val="clear" w:pos="708"/>
          <w:tab w:val="left" w:pos="813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</w:rPr>
        <w:tab/>
      </w:r>
    </w:p>
    <w:p>
      <w:pPr>
        <w:pStyle w:val="Style31"/>
        <w:tabs>
          <w:tab w:val="clear" w:pos="708"/>
          <w:tab w:val="left" w:pos="8130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31"/>
        <w:spacing w:lineRule="auto" w:line="240" w:before="0" w:after="0"/>
        <w:ind w:left="0" w:right="0" w:hanging="0"/>
        <w:jc w:val="both"/>
        <w:rPr/>
      </w:pPr>
      <w:r>
        <w:rPr>
          <w:rStyle w:val="Style19"/>
          <w:rFonts w:ascii="Liberation Serif" w:hAnsi="Liberation Serif"/>
          <w:b w:val="false"/>
          <w:i w:val="false"/>
        </w:rPr>
        <w:t xml:space="preserve">Глава </w:t>
      </w:r>
    </w:p>
    <w:p>
      <w:pPr>
        <w:pStyle w:val="Style31"/>
        <w:spacing w:lineRule="auto" w:line="240" w:before="0" w:after="0"/>
        <w:ind w:left="0" w:right="0" w:hanging="0"/>
        <w:jc w:val="both"/>
        <w:rPr/>
      </w:pPr>
      <w:r>
        <w:rPr>
          <w:rStyle w:val="Style19"/>
          <w:rFonts w:ascii="Liberation Serif" w:hAnsi="Liberation Serif"/>
          <w:b w:val="false"/>
          <w:i w:val="false"/>
        </w:rPr>
        <w:t>Камышловского городского округа                                                 А.В. Половников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left="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59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>Приложение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118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распоряжением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59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59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>от 06.03.2023 № 57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Доклад о правоприменительной практике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 xml:space="preserve"> по результатам осуществления муниципального лесного контроля на территории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за 2022 год</w:t>
      </w:r>
    </w:p>
    <w:p>
      <w:pPr>
        <w:pStyle w:val="Normal"/>
        <w:ind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  <w:softHyphen/>
        <w:t xml:space="preserve">управления в Российской Федерации», Федеральным законом от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, Положение о муниципальном лесном контроле на территории Камышловского городского округа, утвержденного Решением Думы Камышловского городского округа от 15.09.2021 года №643, Программой профилактики  рисков причинения вреда (ущерба) охраняемых законом ценностям при осуществлении муниципального лесного контроля на территории, утвержденной постановление администрации Камышловского городского округа от 14.10.2021 года №771. 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 лесного контроля подготовлен с целью: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обеспечения доступности сведений об указанной практике устранения условий, способствующих совершению правонарушений;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оказания воздействия на контролируемых лиц с целью недопущения нарушения обязательных требований;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обеспечения защиты прав и свобод человека и гражданина, общества и государства от противоправных посягательств,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рассмотрения случаев причинения вреда (ущерба) охраняемым законом ценностям, выявления источников и факторов риска причинения вреда и ущерба, выявления типичных нарушений обязательных требований, причин, обстоятельств и условий, способствующих возникновению указанных нарушений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установленных требований;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снижение административной нагрузки на подконтрольные субъекты;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создание у подконтрольных субъектов мотивации к добросовестному поведению;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снижение уровня ущерба, причиняемого охраняемым законом ценностям.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2022 году плановых и внеплановых контрольных мероприятий не проводилось.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Правительства РФ от 10.03.2022 № 336                                         «Об особенностях организации и осуществления государственного контроля (надзора), муниципального контроля» проведение контрольных мероприятий в 2022 году было ограничено. Действия должностных лиц, в рамках осуществления муниципального лесного контроля, были направлены на проведение профилактических мероприятий.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Положение о муниципальном лесном контроле на территории Камышловского городского округа, утвержденного Решением Думы Камышловского городского округа от 15.09.2021 года №643, установлены следующие виды </w:t>
      </w:r>
      <w:r>
        <w:rPr>
          <w:rFonts w:ascii="Liberation Serif" w:hAnsi="Liberation Serif"/>
          <w:sz w:val="28"/>
          <w:szCs w:val="28"/>
        </w:rPr>
        <w:t>профилактических мероприятий: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Информирование;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Обобщение правоприменительной практики;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Объявление предостережения;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Консультирование;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Профилактический визит. 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наличии), при личном обращении к должностным лицам управления, осуществляющим муниципальный контроль, из информационных материалов, размещенных на информационных стендах в месте нахождения управления.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Управление рассматривает возражение в отношении предостережения и информирует контролируемое лицо о результатах его рассмотрения.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 контролируемых лиц осуществляется должностными лицами управления по телефону, посредством видео-конференц-связи, на личном приеме либо в ходе проведения профилактических мероприятий. Консультирование осуществляется по следующим вопросам: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лесного контроля;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разъяснение положений нормативных правовых актов, регламентирующих порядок осуществления муниципального лесного контроля;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порядок обжалования решений контрольных органов, действий (бездействия) уполномоченных лиц контрольного органа.  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>Деятельность муниципального лесного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2022 году в рамках осуществления муниципального лесного контроля были проведены следующие профилактические мероприятия: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проведено 2 информирований контролируемых и иных заинтересованных лиц по вопросам соблюдения обязательных требований;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предостережений </w:t>
      </w:r>
      <w:r>
        <w:rPr>
          <w:rFonts w:eastAsia="Calibri" w:ascii="Liberation Serif" w:hAnsi="Liberation Serif"/>
          <w:sz w:val="28"/>
          <w:szCs w:val="28"/>
        </w:rPr>
        <w:t>о недопустимости нарушения обязательных требований не объявлялись;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 контролируемых лиц не проводилось;</w:t>
      </w:r>
    </w:p>
    <w:p>
      <w:pPr>
        <w:pStyle w:val="ListParagraph"/>
        <w:numPr>
          <w:ilvl w:val="0"/>
          <w:numId w:val="1"/>
        </w:numPr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профилактические визиты не проводились.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контрольных мероприятий решаются задачи проведенной профилактической работы: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укрепление системы профилактики нарушений обязательных требований,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выявление причин, факторов и условий, способствующих нарушениям обязательных требований,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требований,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повышение правосознания и правовой культуры подконтрольных субъектов.</w:t>
      </w:r>
      <w:bookmarkStart w:id="2" w:name="__DdeLink__170_7817632881"/>
      <w:bookmarkEnd w:id="2"/>
    </w:p>
    <w:sectPr>
      <w:headerReference w:type="default" r:id="rId3"/>
      <w:type w:val="nextPage"/>
      <w:pgSz w:w="11906" w:h="16838"/>
      <w:pgMar w:left="1701" w:right="567" w:gutter="0" w:header="964" w:top="1389" w:footer="0" w:bottom="96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Verdana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60501771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564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7564b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d381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d381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>
    <w:name w:val="Основной текст 2 Знак"/>
    <w:qFormat/>
    <w:rPr>
      <w:sz w:val="28"/>
    </w:rPr>
  </w:style>
  <w:style w:type="character" w:styleId="Style17">
    <w:name w:val="Основной текст Знак"/>
    <w:qFormat/>
    <w:rPr>
      <w:sz w:val="24"/>
    </w:rPr>
  </w:style>
  <w:style w:type="character" w:styleId="Style18">
    <w:name w:val="Основной текст с отступом Знак"/>
    <w:qFormat/>
    <w:rPr>
      <w:sz w:val="28"/>
    </w:rPr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19">
    <w:name w:val="Основной шрифт абзаца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7564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e24"/>
    <w:pPr>
      <w:spacing w:before="0" w:after="0"/>
      <w:ind w:left="720" w:hanging="0"/>
      <w:contextualSpacing/>
    </w:pPr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5"/>
    <w:uiPriority w:val="99"/>
    <w:unhideWhenUsed/>
    <w:rsid w:val="00dd38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Style16"/>
    <w:uiPriority w:val="99"/>
    <w:unhideWhenUsed/>
    <w:rsid w:val="00dd38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  <w:textAlignment w:val="auto"/>
    </w:pPr>
    <w:rPr>
      <w:rFonts w:ascii="Liberation Serif" w:hAnsi="Liberation Serif" w:eastAsia="Calibri" w:cs="Liberation Serif"/>
      <w:color w:val="000000"/>
      <w:kern w:val="2"/>
      <w:sz w:val="24"/>
      <w:szCs w:val="24"/>
      <w:lang w:val="ru-RU" w:eastAsia="en-US" w:bidi="hi-IN"/>
    </w:rPr>
  </w:style>
  <w:style w:type="paragraph" w:styleId="Style28">
    <w:name w:val="Абзац списка"/>
    <w:qFormat/>
    <w:pPr>
      <w:widowControl/>
      <w:suppressAutoHyphens w:val="true"/>
      <w:bidi w:val="0"/>
      <w:spacing w:lineRule="auto" w:line="259" w:before="0" w:after="160"/>
      <w:ind w:left="720" w:hanging="0"/>
      <w:jc w:val="left"/>
    </w:pPr>
    <w:rPr>
      <w:rFonts w:ascii="Calibri" w:hAnsi="Calibri" w:eastAsia="Calibri" w:cs="" w:asciiTheme="minorHAnsi" w:cstheme="minorBidi" w:eastAsiaTheme="minorHAnsi" w:hAnsiTheme="minorHAnsi"/>
      <w:b/>
      <w:i/>
      <w:color w:val="auto"/>
      <w:kern w:val="0"/>
      <w:sz w:val="28"/>
      <w:szCs w:val="28"/>
      <w:lang w:val="ru-RU" w:eastAsia="en-US" w:bidi="ar-SA"/>
    </w:rPr>
  </w:style>
  <w:style w:type="paragraph" w:styleId="Style29">
    <w:name w:val="Знак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Verdana" w:hAnsi="Verdana" w:eastAsia="Calibri" w:cs="Verdana" w:eastAsiaTheme="minorHAnsi"/>
      <w:b/>
      <w:i/>
      <w:color w:val="auto"/>
      <w:kern w:val="0"/>
      <w:sz w:val="28"/>
      <w:szCs w:val="28"/>
      <w:lang w:val="en-US" w:eastAsia="en-US" w:bidi="ar-SA"/>
    </w:rPr>
  </w:style>
  <w:style w:type="paragraph" w:styleId="31">
    <w:name w:val="Основной текст с отступом 3"/>
    <w:qFormat/>
    <w:pPr>
      <w:widowControl/>
      <w:suppressAutoHyphens w:val="true"/>
      <w:bidi w:val="0"/>
      <w:spacing w:lineRule="auto" w:line="259" w:before="0" w:after="120"/>
      <w:ind w:left="283" w:hanging="0"/>
      <w:jc w:val="left"/>
    </w:pPr>
    <w:rPr>
      <w:rFonts w:ascii="Calibri" w:hAnsi="Calibri" w:eastAsia="Calibri" w:cs="" w:asciiTheme="minorHAnsi" w:cstheme="minorBidi" w:eastAsiaTheme="minorHAnsi" w:hAnsiTheme="minorHAnsi"/>
      <w:b/>
      <w:i/>
      <w:color w:val="auto"/>
      <w:kern w:val="0"/>
      <w:sz w:val="16"/>
      <w:szCs w:val="16"/>
      <w:lang w:val="ru-RU" w:eastAsia="en-US" w:bidi="ar-SA"/>
    </w:rPr>
  </w:style>
  <w:style w:type="paragraph" w:styleId="Style30">
    <w:name w:val="Текст выноски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ahoma" w:hAnsi="Tahoma" w:eastAsia="Calibri" w:cs="Tahoma" w:eastAsiaTheme="minorHAnsi"/>
      <w:b/>
      <w:i/>
      <w:color w:val="auto"/>
      <w:kern w:val="0"/>
      <w:sz w:val="16"/>
      <w:szCs w:val="16"/>
      <w:lang w:val="ru-RU" w:eastAsia="en-US" w:bidi="ar-SA"/>
    </w:rPr>
  </w:style>
  <w:style w:type="paragraph" w:styleId="21">
    <w:name w:val="Основной текст 2"/>
    <w:qFormat/>
    <w:pPr>
      <w:widowControl/>
      <w:suppressAutoHyphens w:val="true"/>
      <w:bidi w:val="0"/>
      <w:spacing w:lineRule="auto" w:line="259" w:before="0" w:after="160"/>
      <w:jc w:val="both"/>
    </w:pPr>
    <w:rPr>
      <w:rFonts w:ascii="Calibri" w:hAnsi="Calibri" w:eastAsia="Calibri" w:cs="" w:asciiTheme="minorHAnsi" w:cstheme="minorBidi" w:eastAsiaTheme="minorHAnsi" w:hAnsiTheme="minorHAnsi"/>
      <w:b/>
      <w:i/>
      <w:color w:val="auto"/>
      <w:kern w:val="0"/>
      <w:sz w:val="28"/>
      <w:szCs w:val="28"/>
      <w:lang w:val="ru-RU" w:eastAsia="en-US" w:bidi="ar-SA"/>
    </w:rPr>
  </w:style>
  <w:style w:type="paragraph" w:styleId="Style31">
    <w:name w:val="Обычный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PT Astra Serif" w:hAnsi="PT Astra Serif" w:eastAsia="Tahoma" w:cs="0"/>
      <w:b/>
      <w:i/>
      <w:color w:val="auto"/>
      <w:kern w:val="2"/>
      <w:sz w:val="28"/>
      <w:szCs w:val="28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617C-A88F-4D1E-A2A1-771C50F6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LibreOffice/7.3.6.2$Linux_X86_64 LibreOffice_project/30$Build-2</Application>
  <AppVersion>15.0000</AppVersion>
  <Pages>4</Pages>
  <Words>958</Words>
  <Characters>7759</Characters>
  <CharactersWithSpaces>8858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Тренихина</dc:creator>
  <dc:description/>
  <dc:language>ru-RU</dc:language>
  <cp:lastModifiedBy/>
  <cp:lastPrinted>2023-03-07T15:52:00Z</cp:lastPrinted>
  <dcterms:modified xsi:type="dcterms:W3CDTF">2023-03-07T15:52:16Z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