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773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Приложение № 1</w:t>
      </w:r>
    </w:p>
    <w:p>
      <w:pPr>
        <w:pStyle w:val="Normal"/>
        <w:ind w:left="10773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К муниципальной программе «Развитие социально-экономического комплекса Камышловского городского округа на 2021 -2027 годы»</w:t>
      </w:r>
    </w:p>
    <w:p>
      <w:pPr>
        <w:pStyle w:val="Normal"/>
        <w:ind w:left="11482" w:hanging="0"/>
        <w:jc w:val="both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>
      <w:pPr>
        <w:pStyle w:val="ConsPlusCel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«Развитие социально-экономического комплекса Камышловского городского округа на 2021- 2027 годы» </w:t>
      </w:r>
    </w:p>
    <w:p>
      <w:pPr>
        <w:pStyle w:val="ConsPlusCel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17004" w:type="dxa"/>
        <w:jc w:val="left"/>
        <w:tblInd w:w="-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1"/>
        <w:gridCol w:w="6"/>
        <w:gridCol w:w="74"/>
        <w:gridCol w:w="2897"/>
        <w:gridCol w:w="7"/>
        <w:gridCol w:w="73"/>
        <w:gridCol w:w="1627"/>
        <w:gridCol w:w="1134"/>
        <w:gridCol w:w="1136"/>
        <w:gridCol w:w="1133"/>
        <w:gridCol w:w="991"/>
        <w:gridCol w:w="1134"/>
        <w:gridCol w:w="1277"/>
        <w:gridCol w:w="1133"/>
        <w:gridCol w:w="2118"/>
        <w:gridCol w:w="7"/>
        <w:gridCol w:w="1695"/>
      </w:tblGrid>
      <w:tr>
        <w:trPr>
          <w:trHeight w:val="480" w:hRule="atLeast"/>
        </w:trPr>
        <w:tc>
          <w:tcPr>
            <w:tcW w:w="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Наименование </w:t>
              <w:br/>
              <w:t xml:space="preserve"> цели (целей) и </w:t>
              <w:br/>
              <w:t xml:space="preserve"> задач, целевых </w:t>
              <w:br/>
              <w:t xml:space="preserve"> показателей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Единица </w:t>
              <w:br/>
              <w:t>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Значение целевого показателя реализации </w:t>
              <w:br/>
              <w:t>муниципальной подпрограммы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Источник </w:t>
              <w:br/>
              <w:t xml:space="preserve"> значений </w:t>
              <w:br/>
              <w:t xml:space="preserve">показателей 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977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right="-64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2024</w:t>
            </w:r>
          </w:p>
          <w:p>
            <w:pPr>
              <w:pStyle w:val="ConsPlusCell"/>
              <w:ind w:right="-64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2025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2026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2027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21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 «Стимулирование развития инфраструктуры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Задача: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Площадь территорий, предназначенных для развития жилищного строительства, на которые утверждены проекты планировки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>Протокол заседания Инвестиционного Совета при Губернаторе Свердловской области от 15.05.2018 года №5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Площадь введенного жилья на территории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5147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5789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6241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7095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6500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>Национальный проект «Жилье и городская среда»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4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Задача:2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 Внедрение геоинформационной системы обеспечения градостроительной деятельности.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61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>Протокол заседания Инвестиционного Совета при Губернаторе Свердловской области от 22.03.2019 года №6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4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Задача:3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 Разработка проектно-сметной документации на объекты капитального строительства (в т.ч. экспертиза сметной документации).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>Камышловского городского округа»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4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pacing w:val="-2"/>
                <w:sz w:val="24"/>
                <w:szCs w:val="24"/>
              </w:rPr>
              <w:t>Задача 4: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 xml:space="preserve"> Проведение землеустроительных работ по описанию местоположения границ территориальных зон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Обеспеченность актуализированными документами территориального планирования и градостроительного зонирования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4"/>
              </w:rPr>
              <w:t>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 – р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611pt"/>
                <w:rFonts w:eastAsia="Calibri" w:cs="Liberation Serif" w:ascii="Liberation Serif" w:hAnsi="Liberation Serif"/>
                <w:i/>
                <w:sz w:val="24"/>
                <w:szCs w:val="24"/>
              </w:rPr>
              <w:t>Подпрограмма 2</w:t>
            </w:r>
            <w:r>
              <w:rPr>
                <w:rStyle w:val="611pt"/>
                <w:rFonts w:eastAsia="Calibri" w:cs="Liberation Serif" w:ascii="Liberation Serif" w:hAnsi="Liberation Serif"/>
                <w:sz w:val="24"/>
                <w:szCs w:val="24"/>
              </w:rPr>
              <w:t xml:space="preserve"> «Развитие транспортного комплекса на территории Камышловского городского округа»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Style w:val="611pt"/>
                <w:rFonts w:eastAsia="Calibri" w:cs="Liberation Serif" w:ascii="Liberation Serif" w:hAnsi="Liberation Serif"/>
                <w:sz w:val="24"/>
                <w:szCs w:val="24"/>
              </w:rPr>
              <w:t xml:space="preserve">Цель: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611pt"/>
                <w:rFonts w:eastAsia="Calibri" w:cs="Liberation Serif" w:ascii="Liberation Serif" w:hAnsi="Liberation Serif"/>
                <w:b w:val="false"/>
                <w:sz w:val="24"/>
                <w:szCs w:val="24"/>
              </w:rPr>
              <w:t xml:space="preserve">1. 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6"/>
                <w:szCs w:val="16"/>
              </w:rPr>
              <w:t>Постановление администрации Камышловского городского округа от 18.12.2020 № 873 «Об утверждении реестра муниципальных маршрутов для обеспечения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транспортом.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для обеспечения нормативов Социального стандарта транспортного обслуживания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</w:rPr>
              <w:t>Решение Думы КГО от 10.12.2020 №555 «О бюджете Камышловского городского округа на 2021 и плановый период 2022 и 2023 годов»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3 «Развитие жилищно-коммунального хозяйства и повышение энергетической эффективности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</w:rPr>
              <w:t xml:space="preserve">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21.03.2018 № 253 «Об утверждении Программы комплексного развития системы коммунальной инфраструктуры Камышловского городского округа на 2017-2032 годы»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611pt"/>
                <w:rFonts w:eastAsia="Calibri" w:cs="Liberation Serif" w:ascii="Liberation Serif" w:hAnsi="Liberation Serif"/>
                <w:i/>
                <w:sz w:val="24"/>
                <w:szCs w:val="24"/>
              </w:rPr>
              <w:t>Подпрограмма 4</w:t>
            </w:r>
            <w:r>
              <w:rPr>
                <w:rStyle w:val="611pt"/>
                <w:rFonts w:eastAsia="Calibri" w:cs="Liberation Serif" w:ascii="Liberation Serif" w:hAnsi="Liberation Serif"/>
                <w:sz w:val="24"/>
                <w:szCs w:val="24"/>
              </w:rPr>
              <w:t xml:space="preserve"> «Развитие газификации на территории Камышловского городского округа»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Задача: Оптимизация развития коммунальной инфраструктуры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Обеспечение природным газом объектов коммунального комплекса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sz w:val="16"/>
                <w:szCs w:val="16"/>
              </w:rPr>
              <w:t>Постановление главы</w:t>
            </w:r>
            <w:r>
              <w:rPr>
                <w:rFonts w:cs="Liberation Serif"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sz w:val="16"/>
                <w:szCs w:val="16"/>
              </w:rPr>
              <w:t>Камышловского городского округа от 21.03.2018 № 253 «Об утверждении Программы комплексного развития системы коммунальной инфраструктуры Камышловского городского округа на 2017-2032 годы»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5 «Благоустройство и озеленение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Совершенствование системы благоустройства и озеленения Камышловского городского округа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1:</w:t>
            </w:r>
            <w:r>
              <w:rPr>
                <w:rFonts w:cs="Liberation Serif" w:ascii="Liberation Serif" w:hAnsi="Liberation Serif"/>
              </w:rPr>
              <w:t xml:space="preserve"> П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овышение уровня благоустройства города</w:t>
            </w:r>
            <w:r>
              <w:rPr>
                <w:rFonts w:cs="Liberation Serif" w:ascii="Liberation Serif" w:hAnsi="Liberation Serif"/>
              </w:rPr>
              <w:t>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светоточек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1650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Договоры безвозмездной передачи имущества от 31.10.2011 года (оригиналы в КУИ и ЗР)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Улучшение санитарного и эстетического состояния города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Ремонт мест накопления ТКО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27.02.2018 № 186 «Об утверждении Генеральной схемы очистки территории Камышловского городского округа». Показатель: от общего количества подлежащих ремонту и созданию контейнерных площадок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Создание контейнерных площадок (мест накопления ТКО)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27.02.2018 № 186 «Об утверждении Генеральной схемы очистки территории Камышловского городского округа». Показатель: от общего количества подлежащих ремонту и созданию контейнерных площадок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6 «Охрана окружающей среды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Улучшение санитарного и экологического состояния города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отловленных животных без владельцев, обитающими на территории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hyperlink r:id="rId2">
              <w:r>
                <w:rPr>
                  <w:rStyle w:val="Style"/>
                  <w:bCs/>
                  <w:sz w:val="16"/>
                  <w:szCs w:val="16"/>
                </w:rPr>
        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7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Усиление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0,66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1,97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От общего количества подлежащих обслуживанию автомобильных дорог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153,3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Постановление главы Камышловского городского округа от 10.05.2011 № 808 «Об утверждении регламента содержания улично-дорожной сети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Title"/>
              <w:widowControl/>
              <w:ind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iCs/>
                <w:sz w:val="24"/>
                <w:szCs w:val="24"/>
              </w:rPr>
              <w:t xml:space="preserve">Подпрограмма 8 «Социальная поддержка отдельных категорий граждан на территории Камышловского городского округа» 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Оказание дополнительных мер социальной поддержки, стимулирующего характера для повышения качества жизни граждан отдельных категорий граждан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получивших льготу (бани)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both"/>
              <w:textAlignment w:val="auto"/>
              <w:rPr/>
            </w:pPr>
            <w:r>
              <w:rPr>
                <w:rFonts w:cs="Liberation Serif" w:ascii="Liberation Serif" w:hAnsi="Liberation Serif"/>
                <w:color w:val="000000" w:themeColor="text1"/>
              </w:rPr>
              <w:t>Постановление главы КГО от 09.12.2018 № 867 «Об у</w:t>
            </w: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 xml:space="preserve">тверждении </w:t>
            </w:r>
            <w:hyperlink r:id="rId3">
              <w:r>
                <w:rPr>
                  <w:rStyle w:val="Style"/>
                  <w:rFonts w:eastAsia="Calibri" w:cs="Liberation Serif" w:ascii="Liberation Serif" w:hAnsi="Liberation Serif" w:eastAsiaTheme="minorHAnsi"/>
                  <w:color w:val="000000" w:themeColor="text1"/>
                  <w:lang w:eastAsia="en-US"/>
                </w:rPr>
                <w:t>Порядк</w:t>
              </w:r>
            </w:hyperlink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>а выдачи и учета талонов на льготную помывку в общих отделениях бань Камышловского городского округа</w:t>
            </w:r>
            <w:r>
              <w:rPr>
                <w:rFonts w:cs="Liberation Serif" w:ascii="Liberation Serif" w:hAnsi="Liberation Serif"/>
                <w:color w:val="000000" w:themeColor="text1"/>
              </w:rPr>
              <w:t>» (в ред.)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Количество граждан, получивших вознаграждение (почетные граждане Камышловского городского округа)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 xml:space="preserve">Решение Думы КГО от 07.12.2017 г. № 196 «Об утверждении Положения о присвоении звания «Почетный гражданин города Камышлова» (в ред. </w:t>
            </w:r>
          </w:p>
          <w:p>
            <w:pPr>
              <w:pStyle w:val="Normal"/>
              <w:overflowPunct w:val="true"/>
              <w:textAlignment w:val="auto"/>
              <w:rPr/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 xml:space="preserve">от 26.07.2018 </w:t>
            </w:r>
            <w:hyperlink r:id="rId4">
              <w:r>
                <w:rPr>
                  <w:rStyle w:val="Style"/>
                  <w:rFonts w:eastAsia="Calibri" w:cs="Liberation Serif" w:ascii="Liberation Serif" w:hAnsi="Liberation Serif" w:eastAsiaTheme="minorHAnsi"/>
                  <w:color w:val="000000" w:themeColor="text1"/>
                  <w:lang w:eastAsia="en-US"/>
                </w:rPr>
                <w:t>№ 279</w:t>
              </w:r>
            </w:hyperlink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 xml:space="preserve">, </w:t>
            </w:r>
          </w:p>
          <w:p>
            <w:pPr>
              <w:pStyle w:val="ConsPlusCell"/>
              <w:rPr/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 xml:space="preserve">от 18.06.2020 </w:t>
            </w:r>
            <w:hyperlink r:id="rId5">
              <w:r>
                <w:rPr>
                  <w:rStyle w:val="Style"/>
                  <w:rFonts w:eastAsia="Calibri" w:cs="Liberation Serif" w:ascii="Liberation Serif" w:hAnsi="Liberation Serif" w:eastAsiaTheme="minorHAnsi"/>
                  <w:color w:val="000000" w:themeColor="text1"/>
                  <w:sz w:val="20"/>
                  <w:szCs w:val="20"/>
                  <w:lang w:eastAsia="en-US"/>
                </w:rPr>
                <w:t>№ 500</w:t>
              </w:r>
            </w:hyperlink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получивших вознаграждение (председатели уличных комитетов)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Решение Думы КГО от 19.07.2012 г. № 89 «Об утверждении Положения об уличных </w:t>
            </w: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 xml:space="preserve">комитетах Камышловского городского округа» (в ред. </w:t>
            </w:r>
          </w:p>
          <w:p>
            <w:pPr>
              <w:pStyle w:val="Normal"/>
              <w:overflowPunct w:val="true"/>
              <w:textAlignment w:val="auto"/>
              <w:rPr/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 xml:space="preserve">от 27.12.2016 </w:t>
            </w:r>
            <w:hyperlink r:id="rId6">
              <w:r>
                <w:rPr>
                  <w:rStyle w:val="Style"/>
                  <w:rFonts w:eastAsia="Calibri" w:cs="Liberation Serif" w:ascii="Liberation Serif" w:hAnsi="Liberation Serif" w:eastAsiaTheme="minorHAnsi"/>
                  <w:color w:val="000000" w:themeColor="text1"/>
                  <w:lang w:eastAsia="en-US"/>
                </w:rPr>
                <w:t>№ 58</w:t>
              </w:r>
            </w:hyperlink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lang w:eastAsia="en-US"/>
              </w:rPr>
              <w:t xml:space="preserve">, от 21.03.2019 </w:t>
            </w:r>
            <w:hyperlink r:id="rId7">
              <w:r>
                <w:rPr>
                  <w:rStyle w:val="Style"/>
                  <w:rFonts w:eastAsia="Calibri" w:cs="Liberation Serif" w:ascii="Liberation Serif" w:hAnsi="Liberation Serif" w:eastAsiaTheme="minorHAnsi"/>
                  <w:color w:val="000000" w:themeColor="text1"/>
                  <w:lang w:eastAsia="en-US"/>
                </w:rPr>
                <w:t>№ 355</w:t>
              </w:r>
            </w:hyperlink>
            <w:r>
              <w:rPr>
                <w:rFonts w:cs="Liberation Serif" w:ascii="Liberation Serif" w:hAnsi="Liberation Serif"/>
                <w:color w:val="000000" w:themeColor="text1"/>
              </w:rPr>
              <w:t>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Количество граждан (организаций),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получающих субсидии СО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Законом СО от 29.10.2007 № 135-03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получающих компенсации расходов СО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3240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Законом СО от 19.11.2008 № 105-03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получающих компенсации расходов РФ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1270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Закон Свердловской области от 09.10.2009 № 79-ОЗ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 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граждан, получающих компенсации (капитальный ремонт)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Закон СО от 28.03.2016 № 32-ОЗ "О компенсации расходов на уплату взноса на капитальный ремонт общего имущества в многоквартирном доме"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мероприятий (для граждан старшего поколения)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</w:rPr>
            </w:pPr>
            <w:r>
              <w:rPr>
                <w:rFonts w:cs="Liberation Serif" w:ascii="Liberation Serif" w:hAnsi="Liberation Serif"/>
                <w:b w:val="false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Камышловского городского округа</w:t>
            </w:r>
            <w:r>
              <w:rPr>
                <w:rFonts w:cs="Liberation Serif" w:ascii="Liberation Serif" w:hAnsi="Liberation Serif"/>
              </w:rPr>
              <w:t>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3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Задача 2. 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социально ориентированных некоммерческих организаций,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получивших поддержку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"Об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9 «Развитие малого и среднего предпринимательства на территории Камышловского городского округа»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color w:val="000000" w:themeColor="text1"/>
                <w:sz w:val="24"/>
                <w:szCs w:val="24"/>
              </w:rPr>
              <w:t>Содействие развитию малого и среднего предпринимательства, в том числе самозанятого населения на территории Камышловского городского округа и повышения их конкурентоспособности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Совершенствование внешней среды развития малого и среднего предпринимательства.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850 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(142)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860 (217)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870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(239)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880 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(255)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890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(271)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900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(271)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920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(271)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Региональный проект «Улучшение условий ведения предпринимательской деятельности» (Протокол оперативного совещания Правительства СО от 13.02.2020 № 1-ОП)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Финансовая поддержка субъектов малого и среднего предпринимательства 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</w:rPr>
            </w:pPr>
            <w:r>
              <w:rPr>
                <w:rFonts w:cs="Liberation Serif" w:ascii="Liberation Serif" w:hAnsi="Liberation Serif"/>
                <w:b w:val="false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</w:rPr>
              <w:t xml:space="preserve">Камышловского городского округа» 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Задача 3.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Развитие потребительского рынка и услуг на территории Камышловского городского округа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</w:rPr>
            </w:pPr>
            <w:r>
              <w:rPr>
                <w:rFonts w:cs="Liberation Serif" w:ascii="Liberation Serif" w:hAnsi="Liberation Serif"/>
                <w:b w:val="false"/>
              </w:rPr>
              <w:t xml:space="preserve">Решение Думы КГО от 20.12.2018 г. № 333 «Об утверждении Стратегии социально – экономического развития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Камышловского городского округа</w:t>
            </w:r>
            <w:r>
              <w:rPr>
                <w:rFonts w:cs="Liberation Serif" w:ascii="Liberation Serif" w:hAnsi="Liberation Serif"/>
              </w:rPr>
              <w:t>»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Задача 4.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3" w:hRule="atLeast"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right="-108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организованных и проведенных мероприятий для субъектов малого и среднего предпринимательства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10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9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 xml:space="preserve"> Перевод системы оповещения руководящего состава РСЧС и всех категорий населения на АПК «Грифон». Содержание системы в рабочем состоянии.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>Процент охвата оповещения всех категорий населения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от 22.12.2020 N 880 «Об утверждении Положения о муниципальной системе оповещения населения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right="-44" w:hanging="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Правительства РФ от 29.11.1999 N 1309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(ред. от 30.10.2019)</w:t>
            </w:r>
          </w:p>
          <w:p>
            <w:pPr>
              <w:pStyle w:val="ConsPlusCell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"О Порядке создания убежищ и иных объектов гражданской обороны"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3: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-9" w:firstLine="9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ПП РФ от 27.04.2000г. № 379 «О накоплении, хранении и использовании СИЗ….»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4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 xml:space="preserve">Доля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и</w:t>
            </w: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 xml:space="preserve"> населения,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Организационно методические рекомендации МЧС РФ по подготовке всех групп населения в области ГО и ЧС на 2021-2025 года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5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средств, для защиты населения и территорий от чрезвычайных ситуаций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главы КГО от 19.01.2018 года № 48 "О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на территории Камышловского городского округа"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6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Style w:val="Ts21"/>
                <w:rFonts w:cs="Liberation Serif" w:ascii="Liberation Serif" w:hAnsi="Liberation Serif"/>
                <w:color w:val="auto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главы КГО от 31.03.2014 года № 522 О порядке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7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:Готовность к приему эвакуируемого населения, материальных и культурных ценностей в безопасные районы  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hanging="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от 26.05.2017 года № 507 "Об утверждении Положения о планировании и проведении эвакуационных мероприятий на территории Камышловского городского округа при военных конфликтах или вследствие этих конфликтов, а так же при чрезвычайных ситуациях природного и техногенного характера"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8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Создание резервов финансовых и материальных ресурсов для ликвидации чрезвычайных ситуаций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-9" w:hanging="0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Объем запасов резерва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главы КГО от 31.03.2014 года № 522 О порядке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9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Обеспечение деятельности ЕДДС Камышловского городского округа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841" w:hanging="841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главы КГО от 16.02.2012 года № 211 "О создании и функционировании Единой дежурно- диспетчерской службе (ЕДДС) в Камышловском городском округе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11«Пожарная безопасность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Задача: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от 14.05.2021 № 401 «Об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обеспечении первичных мер пожарной безопасности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Задача: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Улучшение материально-технической базы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от 14.05.2021 № 400 «Об организационно-правовом, финансовом, материально-техническом обеспечении первичных мер пожарной безопасности в границах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12 «Обеспечение общественной безопасности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: </w:t>
            </w:r>
            <w:r>
              <w:rPr>
                <w:rFonts w:cs="Liberation Serif" w:ascii="Liberation Serif" w:hAnsi="Liberation Serif"/>
                <w:spacing w:val="3"/>
                <w:sz w:val="24"/>
                <w:szCs w:val="24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1: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 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Постановление Правительства Российской Федерации от 25.03.2015 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</w:p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в муниципальной собственности или </w:t>
            </w:r>
          </w:p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2: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Доля охвата населения КГО информационно-пропагандистскими мероприятиями </w:t>
            </w:r>
          </w:p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по разъяснению сущности терроризма и его общественной опасности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35-ФЗ «О противодействии терроризму»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35-ФЗ «О противодействии терроризму»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Количество изготовленных и размещенных </w:t>
            </w:r>
          </w:p>
          <w:p>
            <w:pPr>
              <w:pStyle w:val="ConsPlusCell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№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35-ФЗ «О противодействии терроризму»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Задача 3:</w:t>
            </w:r>
            <w:r>
              <w:rPr/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13 «Обеспечение деятельности по комплектованию, учету, хранению и использованию архивных документов»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Федеральный закон от 22 октября 2004 года № 125-ФЗ «Об архивном деле в Российской Федерации»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9873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Закон СО от 19 ноября 2008 года № 104-ОЗ «О наделении органов местного самоуправления МО, расположенных на территории СО,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30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14 «Информационное обеспечение деятельности органов местного самоуправления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30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Обеспечение информационной открытости органов местного самоуправления Камышловского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30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О</w:t>
            </w:r>
            <w:r>
              <w:rPr>
                <w:rFonts w:cs="Liberation Serif" w:ascii="Liberation Serif" w:hAnsi="Liberation Serif"/>
                <w:sz w:val="24"/>
                <w:szCs w:val="24"/>
                <w:shd w:fill="FFFFFF" w:val="clear"/>
              </w:rPr>
              <w:t>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Доля НПА и иных материалов, подлежащих обязательному опубликованию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Постановление администрации КГО от 25.01.2021 г. № 48 «Об утверждении Порядка предоставления субсидий из бюджета Камышловского городского округа 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Подпрограмма 15 «Обеспечение реализации мероприятий муниципальной программы </w:t>
            </w:r>
          </w:p>
          <w:p>
            <w:pPr>
              <w:pStyle w:val="ConsPlusCell"/>
              <w:jc w:val="center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на 2021- 2027 годы»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Цель: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Задача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Закон Свердловской области от 14 июня 2005 года № 52-ОЗ «Об административных правонарушениях на территории Свердловской области»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Задача 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: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Процент реализации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Федеральный закон от 20 августа 2004 года № 113-ФЗ «О присяжных заседателях федеральных судов общей юрисдикции в Российской Федерации», постановление Правительства Свердловской области от 14.03.2017 года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Задача 3.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Обеспечение исполнения бюджетной сметы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Решение Думы КГО от 10.12.2020 №555 «О бюджете Камышловского городского округа на 2021 и плановый период 2022 и 2023 годов»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i/>
                <w:iCs/>
                <w:sz w:val="24"/>
                <w:szCs w:val="24"/>
              </w:rPr>
              <w:t>Подпрограмма 16 «Ремонт муниципального жилого фонда на территории Камышловского городского округа»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Цель: 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: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9521,35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color w:val="000000"/>
                <w:sz w:val="16"/>
                <w:szCs w:val="16"/>
                <w:shd w:fill="FFFFFF" w:val="clear"/>
              </w:rPr>
              <w:t>Договор №133-Ф/14 о формировании фонда капитального ремонта и об организации проведения капитального ремонта общего имущества в многоквартирных домах на территории Камышловского городского округа от 01.11.2014г. (с изменениями ежемесячно)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Cs w:val="false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i/>
                <w:sz w:val="24"/>
                <w:szCs w:val="24"/>
              </w:rPr>
              <w:t>Подпрограмма 17 «</w:t>
            </w:r>
            <w:r>
              <w:rPr>
                <w:rStyle w:val="611pt"/>
                <w:i/>
                <w:sz w:val="24"/>
                <w:szCs w:val="24"/>
              </w:rPr>
              <w:t>Переселение граждан на территории Камышловского городского округа из аварийного жилищного фонда</w:t>
            </w:r>
            <w:r>
              <w:rPr>
                <w:rFonts w:cs="Liberation Serif" w:ascii="Liberation Serif" w:hAnsi="Liberation Serif"/>
                <w:bCs w:val="false"/>
                <w:i/>
                <w:sz w:val="24"/>
                <w:szCs w:val="24"/>
              </w:rPr>
              <w:t>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Цель: 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Обеспечение устойчивого сокращения непригодного для проживания жилищного фонда с расселением к 1 сентября 2025 года не менее 9 025,50 кв. метров аварийного жилищного фонда, в котором проживает не менее 652 человека.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Задача: 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Переселение граждан из многоквартирных домов, признанных до 1 января 2017 года в установленном порядке аварийными в связи с физическим износом в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en-US"/>
              </w:rPr>
              <w:t> </w:t>
            </w:r>
            <w:r>
              <w:rPr>
                <w:rFonts w:cs="Liberation Serif" w:ascii="Liberation Serif" w:hAnsi="Liberation Serif"/>
                <w:b w:val="false"/>
                <w:sz w:val="24"/>
                <w:szCs w:val="24"/>
              </w:rPr>
              <w:t>процессе их эксплуатации и подлежащими сносу или 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 хозяйственный оборот. Стимулирование строительного комплекса Камышловского городского округа.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shd w:val="clear" w:color="auto" w:fill="auto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жилых помещений приобретенных для переселения граждан из аварийного жилого фонда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Региональная адресная программа 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№ 208-ПП (в ред. от 03.12.2020 № 890-ПП)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6"/>
                <w:szCs w:val="16"/>
              </w:rPr>
              <w:t>В соответствии с этапами реализации Региональной программы.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Cs w:val="false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i/>
                <w:sz w:val="24"/>
                <w:szCs w:val="24"/>
              </w:rPr>
              <w:t>Подпрограмма 18 «Обеспечение жильем молодых семей»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sz w:val="24"/>
                <w:szCs w:val="24"/>
              </w:rPr>
              <w:t>Цел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01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sz w:val="24"/>
                <w:szCs w:val="24"/>
              </w:rPr>
              <w:t>Задача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: Предоставление мер государственной и муниципальной поддержки в решении жилищной проблемы молодым семьям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молодых семей, получивших социальные выплаты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молодых семей, получивших социальную выплату от численности молодых семей, состоящих на учёте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1%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Cs w:val="false"/>
                <w:i/>
                <w:i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i/>
                <w:sz w:val="24"/>
                <w:szCs w:val="24"/>
              </w:rPr>
              <w:t>Подпрограмма 19 «</w:t>
            </w:r>
            <w:r>
              <w:rPr>
                <w:rStyle w:val="611pt"/>
                <w:rFonts w:eastAsia="Calibri" w:cs="Liberation Serif" w:ascii="Liberation Serif" w:hAnsi="Liberation Serif"/>
                <w:sz w:val="24"/>
                <w:szCs w:val="24"/>
              </w:rPr>
              <w:t>Предоставление региональной поддержки молодым семьям на улучшение жилищных условий»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Цель: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53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молодых семей, получивших региональные социальные выплаты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молодых семей, получивших социальную выплату от численности молодых семей, состоящих на учёте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16,6%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14,2%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12,5 %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11,1%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9,0 %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18"/>
                <w:szCs w:val="18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(внесены изменения от 02.04.2020 № 202-ПП)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48d6"/>
    <w:pPr>
      <w:widowControl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048d6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semiHidden/>
    <w:qFormat/>
    <w:rsid w:val="00f048d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Ts21" w:customStyle="1">
    <w:name w:val="ts21"/>
    <w:basedOn w:val="DefaultParagraphFont"/>
    <w:qFormat/>
    <w:rsid w:val="00f048d6"/>
    <w:rPr>
      <w:rFonts w:ascii="Times New Roman" w:hAnsi="Times New Roman" w:cs="Times New Roman"/>
      <w:color w:val="884706"/>
      <w:sz w:val="32"/>
      <w:szCs w:val="32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f048d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f048d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611pt" w:customStyle="1">
    <w:name w:val="Основной текст (6) + 11 pt"/>
    <w:basedOn w:val="DefaultParagraphFont"/>
    <w:qFormat/>
    <w:rsid w:val="00f048d6"/>
    <w:rPr>
      <w:rFonts w:ascii="Times New Roman" w:hAnsi="Times New Roman" w:cs="Times New Roman"/>
      <w:sz w:val="22"/>
      <w:szCs w:val="22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locked/>
    <w:rsid w:val="00f048d6"/>
    <w:rPr>
      <w:sz w:val="21"/>
      <w:szCs w:val="21"/>
      <w:shd w:fill="FFFFFF" w:val="clear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0770b3"/>
    <w:rPr>
      <w:rFonts w:ascii="Segoe UI" w:hAnsi="Segoe UI" w:eastAsia="Times New Roman" w:cs="Segoe UI"/>
      <w:sz w:val="18"/>
      <w:szCs w:val="18"/>
      <w:lang w:eastAsia="ru-RU"/>
    </w:rPr>
  </w:style>
  <w:style w:type="character" w:styleId="Style14" w:customStyle="1">
    <w:name w:val="Основной текст_"/>
    <w:basedOn w:val="DefaultParagraphFont"/>
    <w:link w:val="11"/>
    <w:qFormat/>
    <w:locked/>
    <w:rsid w:val="0096080b"/>
    <w:rPr>
      <w:sz w:val="23"/>
      <w:szCs w:val="23"/>
      <w:shd w:fill="FFFFFF" w:val="clear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Cell" w:customStyle="1">
    <w:name w:val="ConsPlusCell"/>
    <w:uiPriority w:val="99"/>
    <w:qFormat/>
    <w:rsid w:val="00f048d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Title" w:customStyle="1">
    <w:name w:val="ConsTitle"/>
    <w:uiPriority w:val="99"/>
    <w:qFormat/>
    <w:rsid w:val="00f048d6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semiHidden/>
    <w:qFormat/>
    <w:rsid w:val="00f048d6"/>
    <w:pPr>
      <w:spacing w:lineRule="auto" w:line="480" w:before="0" w:after="120"/>
    </w:pPr>
    <w:rPr/>
  </w:style>
  <w:style w:type="paragraph" w:styleId="HTMLPreformatted">
    <w:name w:val="HTML Preformatted"/>
    <w:basedOn w:val="Normal"/>
    <w:link w:val="HTML0"/>
    <w:uiPriority w:val="99"/>
    <w:qFormat/>
    <w:rsid w:val="00f048d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textAlignment w:val="auto"/>
    </w:pPr>
    <w:rPr>
      <w:rFonts w:ascii="Courier New" w:hAnsi="Courier New" w:cs="Courier New"/>
    </w:rPr>
  </w:style>
  <w:style w:type="paragraph" w:styleId="Style21" w:customStyle="1">
    <w:name w:val="Знак Знак Знак"/>
    <w:basedOn w:val="Normal"/>
    <w:uiPriority w:val="99"/>
    <w:qFormat/>
    <w:rsid w:val="00f048d6"/>
    <w:pPr>
      <w:overflowPunct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61" w:customStyle="1">
    <w:name w:val="Основной текст (6)"/>
    <w:basedOn w:val="Normal"/>
    <w:link w:val="6"/>
    <w:qFormat/>
    <w:rsid w:val="00f048d6"/>
    <w:pPr>
      <w:shd w:val="clear" w:color="auto" w:fill="FFFFFF"/>
      <w:overflowPunct w:val="true"/>
      <w:spacing w:lineRule="exact" w:line="269" w:before="0" w:after="1320"/>
      <w:ind w:hanging="1300"/>
      <w:jc w:val="right"/>
      <w:textAlignment w:val="auto"/>
    </w:pPr>
    <w:rPr>
      <w:rFonts w:ascii="Calibri" w:hAnsi="Calibri" w:eastAsia="Calibri" w:cs="" w:asciiTheme="minorHAnsi" w:cstheme="minorBidi" w:eastAsiaTheme="minorHAnsi" w:hAnsiTheme="minorHAnsi"/>
      <w:sz w:val="21"/>
      <w:szCs w:val="21"/>
      <w:shd w:fill="FFFFFF" w:val="clear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770b3"/>
    <w:pPr/>
    <w:rPr>
      <w:rFonts w:ascii="Segoe UI" w:hAnsi="Segoe UI" w:cs="Segoe UI"/>
      <w:sz w:val="18"/>
      <w:szCs w:val="18"/>
    </w:rPr>
  </w:style>
  <w:style w:type="paragraph" w:styleId="12" w:customStyle="1">
    <w:name w:val="Основной текст1"/>
    <w:basedOn w:val="Normal"/>
    <w:link w:val="a6"/>
    <w:qFormat/>
    <w:rsid w:val="0096080b"/>
    <w:pPr>
      <w:shd w:val="clear" w:color="auto" w:fill="FFFFFF"/>
      <w:overflowPunct w:val="true"/>
      <w:spacing w:lineRule="atLeast" w:line="240" w:before="0" w:after="60"/>
      <w:textAlignment w:val="auto"/>
    </w:pPr>
    <w:rPr>
      <w:rFonts w:ascii="Calibri" w:hAnsi="Calibri" w:eastAsia="Calibri" w:cs="" w:asciiTheme="minorHAnsi" w:cstheme="minorBidi" w:eastAsiaTheme="minorHAnsi" w:hAnsiTheme="minorHAnsi"/>
      <w:sz w:val="23"/>
      <w:szCs w:val="23"/>
      <w:shd w:fill="FFFFFF" w:val="clear"/>
      <w:lang w:eastAsia="en-US"/>
    </w:rPr>
  </w:style>
  <w:style w:type="paragraph" w:styleId="ConsPlusTitle" w:customStyle="1">
    <w:name w:val="ConsPlusTitle"/>
    <w:qFormat/>
    <w:rsid w:val="000125b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14646/" TargetMode="External"/><Relationship Id="rId3" Type="http://schemas.openxmlformats.org/officeDocument/2006/relationships/hyperlink" Target="consultantplus://offline/ref=E08E535D1EDA1854ECE0E411BB3A86C6661DC6EB904B5BD0F2AF6A1D75444223212E61014EFED1338DA860F0FD518668878D3E4A9E44AE7E69D09508B3r6D" TargetMode="External"/><Relationship Id="rId4" Type="http://schemas.openxmlformats.org/officeDocument/2006/relationships/hyperlink" Target="consultantplus://offline/ref=1F6DE78FB7DCA419EDD6F202671740EC231ED5DEBB0C0F85AA9C5324AECD154F10D3082AB52AC98B2D2FFB4B9EA926DC8F7F4318745A600538915D1F41o0D" TargetMode="External"/><Relationship Id="rId5" Type="http://schemas.openxmlformats.org/officeDocument/2006/relationships/hyperlink" Target="consultantplus://offline/ref=1F6DE78FB7DCA419EDD6F202671740EC231ED5DEBB070D87AE905324AECD154F10D3082AB52AC98B2D2FFB4B9EA926DC8F7F4318745A600538915D1F41o0D" TargetMode="External"/><Relationship Id="rId6" Type="http://schemas.openxmlformats.org/officeDocument/2006/relationships/hyperlink" Target="consultantplus://offline/ref=57910785E91F8877DE5BFC6C12376EB30BD8FE6134C786D797C2D22E76D2637DE36C3219A612FA2F2814478BF198B98E2710FA28A25CC9F784146AC8u5l8D" TargetMode="External"/><Relationship Id="rId7" Type="http://schemas.openxmlformats.org/officeDocument/2006/relationships/hyperlink" Target="consultantplus://offline/ref=57910785E91F8877DE5BFC6C12376EB30BD8FE6137CA8DDB9ECED22E76D2637DE36C3219A612FA2F2814478BF198B98E2710FA28A25CC9F784146AC8u5l8D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Application>LibreOffice/6.3.4.2$Windows_X86_64 LibreOffice_project/60da17e045e08f1793c57c00ba83cdfce946d0aa</Application>
  <Pages>6</Pages>
  <Words>4006</Words>
  <Characters>28150</Characters>
  <CharactersWithSpaces>31405</CharactersWithSpaces>
  <Paragraphs>809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2018-10-25T04:13:00Z</dcterms:created>
  <dc:creator>Наталья Витальевна</dc:creator>
  <dc:description/>
  <dc:language>ru-RU</dc:language>
  <cp:lastModifiedBy>Наталья Витальевна</cp:lastModifiedBy>
  <cp:lastPrinted>2021-01-26T09:47:00Z</cp:lastPrinted>
  <dcterms:modified xsi:type="dcterms:W3CDTF">2021-02-03T11:55:00Z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