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015FD5">
        <w:rPr>
          <w:rFonts w:ascii="Times New Roman" w:hAnsi="Times New Roman" w:cs="Times New Roman"/>
          <w:b/>
          <w:sz w:val="24"/>
          <w:szCs w:val="24"/>
        </w:rPr>
        <w:t>Выдача разрешения на право вырубки зеленых насаждений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465F85" w:rsidP="0046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обеспечения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Default="004F66E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6E">
              <w:rPr>
                <w:rFonts w:ascii="Times New Roman" w:hAnsi="Times New Roman" w:cs="Times New Roman"/>
                <w:sz w:val="24"/>
                <w:szCs w:val="24"/>
              </w:rPr>
              <w:t>6600000010001082546</w:t>
            </w:r>
          </w:p>
          <w:p w:rsidR="004D3A6E" w:rsidRPr="0033310C" w:rsidRDefault="004D3A6E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A2FBA" w:rsidRPr="004A2FBA" w:rsidRDefault="00015FD5" w:rsidP="004A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</w:p>
          <w:p w:rsidR="00EA72CB" w:rsidRPr="0033310C" w:rsidRDefault="00EA72CB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015FD5" w:rsidRPr="004A2FBA" w:rsidRDefault="00015FD5" w:rsidP="0001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</w:p>
          <w:p w:rsidR="00EA72CB" w:rsidRPr="0033310C" w:rsidRDefault="00EA72CB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015FD5" w:rsidRPr="004A2FBA" w:rsidRDefault="00EA72CB" w:rsidP="0001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</w:t>
            </w:r>
            <w:r w:rsidR="00015FD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насаждений»</w:t>
            </w:r>
          </w:p>
          <w:p w:rsidR="003E0883" w:rsidRPr="0033310C" w:rsidRDefault="000727FE" w:rsidP="0001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015FD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</w:t>
            </w:r>
            <w:r w:rsidR="00015FD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15FD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DC5" w:rsidRPr="0033310C" w:rsidTr="003E0883">
        <w:trPr>
          <w:trHeight w:val="79"/>
        </w:trPr>
        <w:tc>
          <w:tcPr>
            <w:tcW w:w="560" w:type="dxa"/>
            <w:vMerge/>
          </w:tcPr>
          <w:p w:rsidR="00810DC5" w:rsidRPr="0033310C" w:rsidRDefault="00810DC5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10DC5" w:rsidRPr="0033310C" w:rsidRDefault="00810DC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10DC5" w:rsidRPr="0033310C" w:rsidRDefault="00810DC5" w:rsidP="000B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701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="00701DA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01D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43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247" w:rsidRPr="00EF72F5">
              <w:rPr>
                <w:rFonts w:ascii="Times New Roman" w:hAnsi="Times New Roman" w:cs="Times New Roman"/>
                <w:sz w:val="24"/>
                <w:szCs w:val="24"/>
              </w:rPr>
              <w:t>http://gorod-kamyshlov.ru</w:t>
            </w:r>
            <w:r w:rsidR="00A43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701DAE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5D3774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B14CD8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634D1D" w:rsidRPr="0033310C" w:rsidRDefault="002F75B0" w:rsidP="00B1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14CD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CD8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заявления о предоставлении муниципальной услуги, в том числе поступивших через МФЦ.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2F75B0" w:rsidP="00B1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14CD8">
              <w:rPr>
                <w:rFonts w:ascii="Times New Roman" w:hAnsi="Times New Roman"/>
                <w:sz w:val="24"/>
                <w:szCs w:val="24"/>
              </w:rPr>
              <w:t>17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заявления о предоставлении муниципальной услуги, в том числе поступивших через МФЦ.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33310C" w:rsidRDefault="003504A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не должны содержать подчисток либо приписок, зачеркнутые слова и иные не оговоренные в них исправления.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6E5262" w:rsidRPr="0033310C" w:rsidRDefault="00031986" w:rsidP="009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административным регламентом представлены не в полном объеме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031986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 согласно административному регламенту представлен не в полном объеме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0F64A9" w:rsidRDefault="00E93D69" w:rsidP="00595A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4A9">
              <w:rPr>
                <w:rFonts w:ascii="Times New Roman" w:hAnsi="Times New Roman"/>
                <w:sz w:val="24"/>
                <w:szCs w:val="24"/>
              </w:rPr>
              <w:t xml:space="preserve">Личное обращение в </w:t>
            </w:r>
            <w:r w:rsidR="00595AAA" w:rsidRPr="000F64A9">
              <w:rPr>
                <w:rFonts w:ascii="Times New Roman" w:hAnsi="Times New Roman"/>
                <w:sz w:val="24"/>
                <w:szCs w:val="24"/>
              </w:rPr>
              <w:t>МКЦ «ЦОДА КГО»</w:t>
            </w:r>
            <w:r w:rsidRPr="000F64A9">
              <w:rPr>
                <w:rFonts w:ascii="Times New Roman" w:hAnsi="Times New Roman"/>
                <w:sz w:val="24"/>
                <w:szCs w:val="24"/>
              </w:rPr>
              <w:t>, по электронной почте, через Единый портал государственных и муниципальных услуг, через региональный портал государственных и муниципальных услуг, через ГБУ СО «МФЦ»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0F64A9" w:rsidRDefault="0065206A" w:rsidP="00F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A9">
              <w:rPr>
                <w:rFonts w:ascii="Times New Roman" w:hAnsi="Times New Roman" w:cs="Times New Roman"/>
                <w:sz w:val="24"/>
                <w:szCs w:val="24"/>
              </w:rPr>
              <w:t>- при личном приеме в МКУ ЦОДА КГО»</w:t>
            </w:r>
          </w:p>
          <w:p w:rsidR="0065206A" w:rsidRPr="000F64A9" w:rsidRDefault="0065206A" w:rsidP="00F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A9">
              <w:rPr>
                <w:rFonts w:ascii="Times New Roman" w:hAnsi="Times New Roman" w:cs="Times New Roman"/>
                <w:sz w:val="24"/>
                <w:szCs w:val="24"/>
              </w:rPr>
              <w:t>- посредством услуг почтовой связи</w:t>
            </w:r>
          </w:p>
          <w:p w:rsidR="0065206A" w:rsidRPr="000F64A9" w:rsidRDefault="0065206A" w:rsidP="00F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A9">
              <w:rPr>
                <w:rFonts w:ascii="Times New Roman" w:hAnsi="Times New Roman" w:cs="Times New Roman"/>
                <w:sz w:val="24"/>
                <w:szCs w:val="24"/>
              </w:rPr>
              <w:t>- в личном кабинете Единого портала (при наличии технической возможности)</w:t>
            </w:r>
          </w:p>
          <w:p w:rsidR="0065206A" w:rsidRPr="000F64A9" w:rsidRDefault="0065206A" w:rsidP="00FB62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4A9">
              <w:rPr>
                <w:rFonts w:ascii="Times New Roman" w:hAnsi="Times New Roman" w:cs="Times New Roman"/>
                <w:sz w:val="24"/>
                <w:szCs w:val="24"/>
              </w:rPr>
              <w:t>- посредством выдачи результата муниципальной услуги в МФЦ (при наличии технической возможности)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B14CD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B15E7A" w:rsidP="00B1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 w:rsidR="0025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индивидуальные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DA14EF" w:rsidRPr="00835FF7" w:rsidRDefault="00DA14EF" w:rsidP="00DA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(физического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12CC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ADD" w:rsidRPr="0033310C" w:rsidRDefault="00DA14EF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статус юридического лица</w:t>
            </w:r>
            <w:r w:rsidR="008012CC">
              <w:rPr>
                <w:rFonts w:ascii="Times New Roman" w:hAnsi="Times New Roman" w:cs="Times New Roman"/>
                <w:sz w:val="24"/>
                <w:szCs w:val="24"/>
              </w:rPr>
              <w:t xml:space="preserve"> - учредительные документы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371039" w:rsidP="00031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Федерации.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230BB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Дееспособное физическое лицо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4"/>
        <w:gridCol w:w="5051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Pr="0033310C" w:rsidRDefault="00B14CD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1346DA" w:rsidRDefault="001346D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CC3728" w:rsidRDefault="001346D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r w:rsidR="000C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6D3" w:rsidRPr="0033310C" w:rsidRDefault="007016D3" w:rsidP="001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Default="001346D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5638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1A2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1A2A08">
              <w:rPr>
                <w:rFonts w:ascii="Times New Roman" w:hAnsi="Times New Roman" w:cs="Times New Roman"/>
                <w:sz w:val="24"/>
                <w:szCs w:val="24"/>
              </w:rPr>
              <w:t>оформляется в произвольном виде с указанием местоположения земельного участка, указанием вида работ, причины вырубки, пересадки, реконструкции зеленых насаждений, а также информация о заявителе (адрес, наименование юридического лица или фамилия, имя, отчество физического лица)).</w:t>
            </w:r>
          </w:p>
          <w:p w:rsidR="00B63C5D" w:rsidRDefault="000C511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заявителя (уполномоченного представителя заявителя – в случае обращения за получением муниципальной услуги представителя).</w:t>
            </w:r>
          </w:p>
          <w:p w:rsidR="000C5113" w:rsidRDefault="000C511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</w:t>
            </w:r>
            <w:r w:rsidR="00EA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подтверждающий полномочия представителя заявителя (в случае обращения </w:t>
            </w:r>
            <w:r w:rsidR="00EA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получением муниципальной услуги уполномоченным представителем заявителя).</w:t>
            </w:r>
          </w:p>
          <w:p w:rsidR="00EA49B4" w:rsidRDefault="00EA49B4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Документы, подтверждающие право заявителя на земельный участок, предусмотренные гражданским, земельным законодательством (за исключением случаев, когда работы осуществляются на землях общего 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подрядной организацией, на основании заключения муниципального контракта), права на который не зарегистрированы в Едином государственном реестре недвижимости, либо документ, подтверждающий предостав</w:t>
            </w:r>
            <w:r w:rsidR="001A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земельного участка, на котором планируется</w:t>
            </w:r>
            <w:r w:rsid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работы.</w:t>
            </w:r>
          </w:p>
          <w:p w:rsidR="001A2A08" w:rsidRDefault="001A2A08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здание, строение, сооружение, если права на него не зарегистрированы в ЕГРН, либо документ, подтверждающий предоставление земельного участка, на котором планируется провести работы.</w:t>
            </w:r>
          </w:p>
          <w:p w:rsidR="001A2A08" w:rsidRDefault="001A2A08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решение общего собрания собственников помещений многоквартирного дома на проведение соответствующих работ, проведенного в порядке, установленном жилищным законодательством (если зеленые насаждения находятся на земельном участке, на котором расположен многоквартирный дом).</w:t>
            </w:r>
          </w:p>
          <w:p w:rsidR="00876245" w:rsidRDefault="00876245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коммуникаций).</w:t>
            </w:r>
          </w:p>
          <w:p w:rsidR="00876245" w:rsidRDefault="00876245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о нарушении строительных, санитарных и иных норм и правил, вызванных произрастанием зеленых насаждений или иных документов, подтверждающие необходимость производства работ, требующих вырубки или пересадки зеленых насаждений на определенном земельном участке (предоставляется при наличии).</w:t>
            </w:r>
          </w:p>
          <w:p w:rsidR="00876245" w:rsidRDefault="00876245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содержащий перечень дефектов коммуникаций, утве</w:t>
            </w:r>
            <w:r w:rsidR="0086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ржденный уполномоченным лицом (</w:t>
            </w:r>
            <w:r w:rsidR="00C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 получением разрешения на вырубку, пересадку зеленых насаждений, в целях капитального или текущего ремонта сетей инженерно-технического обеспечения, в </w:t>
            </w:r>
            <w:proofErr w:type="spellStart"/>
            <w:r w:rsidR="00C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линейных объектов). </w:t>
            </w:r>
          </w:p>
          <w:p w:rsidR="00866B59" w:rsidRDefault="00866B59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Задание на выполнение инженерных изысканий (в случае обращения за получением разрешения на вырубку, пересадку зеленых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насаждений в целях проведения инженерно-геологических изысканий изысканий).</w:t>
            </w:r>
          </w:p>
          <w:p w:rsidR="00866B59" w:rsidRDefault="00866B59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 участка с нанесенными зелеными насаждениями, подлежащими вырубке, пересадке или реконструкции, с указанием примерных расстояний до ближайших строений или других ориентиров) (за исключением случаев вырубки аварийных деревьев). </w:t>
            </w:r>
          </w:p>
          <w:p w:rsidR="00866B59" w:rsidRDefault="00866B59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ведомость зеленых насаждений, подлежащих вырубке (в случае вырубки зеленых насаждений). </w:t>
            </w:r>
          </w:p>
          <w:p w:rsidR="00866B59" w:rsidRDefault="00866B59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движения транспорта и пешеходов на период проведения работ (в случае обращения за получением разрешения на право вырубки, пересадки, реконструкции зеленых насаждений, проводимой на проезжей части).</w:t>
            </w:r>
          </w:p>
          <w:p w:rsidR="00DB2DEB" w:rsidRDefault="00DB2DEB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о нарушении естественного освещения в жилом или нежилом помещении (предоставляется при наличии</w:t>
            </w:r>
            <w:r w:rsidR="00C1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проведения работ по восстановлению нормативного светового режима в </w:t>
            </w:r>
            <w:r w:rsidR="00C1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и нежилых помещениях).</w:t>
            </w:r>
          </w:p>
          <w:p w:rsidR="00C10986" w:rsidRDefault="00C109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Гарантийное письмо с реквизитами организации, подтверждающее намерение осуществления компенсационного озеленения в срок и на условиях, указанных в разрешении на вырубку зеленых насаждений.</w:t>
            </w:r>
          </w:p>
          <w:p w:rsidR="00504612" w:rsidRPr="0033310C" w:rsidRDefault="005046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910C55" w:rsidRDefault="0048572F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– 1 экз. оригинал</w:t>
            </w:r>
          </w:p>
          <w:p w:rsidR="0048572F" w:rsidRDefault="0048572F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– 1 экз. копия</w:t>
            </w:r>
            <w:r w:rsidR="00961AD8">
              <w:rPr>
                <w:rFonts w:ascii="Times New Roman" w:hAnsi="Times New Roman" w:cs="Times New Roman"/>
                <w:sz w:val="24"/>
                <w:szCs w:val="24"/>
              </w:rPr>
              <w:t xml:space="preserve"> с предъявлением подлинника.</w:t>
            </w:r>
          </w:p>
          <w:p w:rsidR="00961AD8" w:rsidRDefault="00961AD8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– 1 экз. копия с предъявлением подлинника. </w:t>
            </w:r>
          </w:p>
          <w:p w:rsidR="0048572F" w:rsidRDefault="00961AD8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земельный участок – 1 экз. копия</w:t>
            </w:r>
          </w:p>
          <w:p w:rsidR="00961AD8" w:rsidRDefault="00961AD8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здание – 1 экз. копия.</w:t>
            </w:r>
          </w:p>
          <w:p w:rsidR="00961AD8" w:rsidRDefault="0092133B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– 1 экз. копия.</w:t>
            </w:r>
          </w:p>
          <w:p w:rsidR="0092133B" w:rsidRDefault="0092133B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разделов проектной документации </w:t>
            </w:r>
            <w:r w:rsidR="005B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10">
              <w:rPr>
                <w:rFonts w:ascii="Times New Roman" w:hAnsi="Times New Roman" w:cs="Times New Roman"/>
                <w:sz w:val="24"/>
                <w:szCs w:val="24"/>
              </w:rPr>
              <w:t>1 экз. копии.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нарушении строительных, санитарных и иных норм и правил – 1 экз.,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содержащий перечень дефектов коммуникаций, утвержденный уполномоченным лицом – 1 экз.,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выполнение инженерных изысканий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Дендроплан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экз..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 – 1 экз.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движения транспорта и пешеходов – 1 экз.,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нарушении естественного освещения в жилом или нежилом помещении – 1 экз.. копия.</w:t>
            </w:r>
          </w:p>
          <w:p w:rsidR="005B7910" w:rsidRDefault="005B7910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 – 1 экз.. копия.</w:t>
            </w:r>
          </w:p>
          <w:p w:rsidR="00242937" w:rsidRPr="0033310C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E61778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для получения услуги: </w:t>
            </w:r>
            <w:r w:rsidR="00E617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F00129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административным регламентом</w:t>
            </w:r>
            <w:r w:rsidR="00DA7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ED2" w:rsidRPr="0033310C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CC3728" w:rsidRPr="0033310C" w:rsidRDefault="00304963" w:rsidP="00DA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не установлена регламентом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30496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1BB0" w:rsidRPr="0033310C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A7B7D" w:rsidRDefault="00304963" w:rsidP="00DA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60AF" w:rsidRPr="0033310C" w:rsidRDefault="00C660AF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53"/>
        <w:gridCol w:w="5032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662136" w:rsidRPr="0033310C" w:rsidRDefault="00B14CD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13603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904C7" w:rsidRPr="0033310C" w:rsidRDefault="00A904C7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A847E6" w:rsidRPr="0033310C" w:rsidRDefault="00A847E6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662136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662136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99"/>
        <w:gridCol w:w="4970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B14CD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535DE" w:rsidRPr="005B7910" w:rsidRDefault="005B7910" w:rsidP="005B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7910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разрешения на право вырубки, пересадки, реконструкции зеленых насаждений</w:t>
            </w:r>
          </w:p>
          <w:p w:rsidR="005B7910" w:rsidRPr="005B7910" w:rsidRDefault="005B7910" w:rsidP="005B79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</w:t>
            </w:r>
            <w:r w:rsidR="000F347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право вырубки, пересадки, реконструкции зеленых насаждений.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062801" w:rsidP="0006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п</w:t>
            </w:r>
            <w:r w:rsidR="00136038">
              <w:rPr>
                <w:rFonts w:ascii="Times New Roman" w:hAnsi="Times New Roman" w:cs="Times New Roman"/>
                <w:sz w:val="24"/>
                <w:szCs w:val="24"/>
              </w:rPr>
              <w:t xml:space="preserve">одписывается главой </w:t>
            </w:r>
            <w:proofErr w:type="spellStart"/>
            <w:r w:rsidR="0013603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1360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B25686" w:rsidRPr="0033310C" w:rsidRDefault="0009537B" w:rsidP="000628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0F347D" w:rsidRPr="005B7910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разрешения на право вырубки, пересадки, реконструкции зеленых насаждений</w:t>
            </w:r>
            <w:r w:rsidR="000F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0F347D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разрешения на право вырубки, пересадки, реконструкции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4266B9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подписывается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4266B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4266B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1FF" w:rsidRPr="0033310C" w:rsidRDefault="004266B9" w:rsidP="0042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51F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F93181" w:rsidP="0042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26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33310C" w:rsidRDefault="00E35FAC" w:rsidP="0042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26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33310C" w:rsidRDefault="00E35FAC" w:rsidP="0042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266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</w:t>
      </w:r>
      <w:proofErr w:type="gramStart"/>
      <w:r w:rsidRPr="00BF569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78"/>
        <w:gridCol w:w="4957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1F158F" w:rsidRPr="0033310C" w:rsidRDefault="000F64A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2C0B1B" w:rsidRPr="0033310C" w:rsidRDefault="002C0B1B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1F158F" w:rsidRPr="0033310C" w:rsidRDefault="000B7C8A" w:rsidP="001A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документа, удостоверяющего личность заявителя (только при личном обращении в </w:t>
            </w:r>
            <w:r w:rsidR="001A2D5A">
              <w:rPr>
                <w:rFonts w:ascii="Times New Roman" w:hAnsi="Times New Roman" w:cs="Times New Roman"/>
                <w:sz w:val="24"/>
                <w:szCs w:val="24"/>
              </w:rPr>
              <w:t>МКУ «ЦОДА КГО»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 и МФЦ);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 передача заявления и документов в </w:t>
            </w:r>
            <w:r w:rsidR="001A2D5A">
              <w:rPr>
                <w:rFonts w:ascii="Times New Roman" w:hAnsi="Times New Roman" w:cs="Times New Roman"/>
                <w:sz w:val="24"/>
                <w:szCs w:val="24"/>
              </w:rPr>
              <w:t>МКУ «ЦОДА КГО»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BB2AD7" w:rsidRDefault="000B7C8A" w:rsidP="000B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BB2A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специалист устанавливает </w:t>
            </w:r>
            <w:r w:rsidR="00BB2AD7">
              <w:rPr>
                <w:rFonts w:ascii="Times New Roman" w:hAnsi="Times New Roman" w:cs="Times New Roman"/>
                <w:sz w:val="24"/>
                <w:szCs w:val="24"/>
              </w:rPr>
              <w:t>личность заявителя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F57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оформления заявления заявителем. Передает заявление на регистрацию.</w:t>
            </w:r>
          </w:p>
          <w:p w:rsidR="000B7C8A" w:rsidRPr="009D7037" w:rsidRDefault="000B7C8A" w:rsidP="000B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 для отказа в приеме документов специалист органа местного самоуправления либо оператор МФЦ отказывает в приеме документов.</w:t>
            </w:r>
          </w:p>
          <w:p w:rsidR="001F158F" w:rsidRPr="00BD1E96" w:rsidRDefault="000B7C8A" w:rsidP="000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     Датой начала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ной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подаются через ГБУ СО «МФЦ».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1F158F" w:rsidRPr="00AC1C6B" w:rsidRDefault="00C51FA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6E1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  <w:p w:rsidR="00AC1C6B" w:rsidRPr="0033310C" w:rsidRDefault="00AC1C6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0F64A9" w:rsidP="000F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«ЦОДА КГО»</w:t>
            </w:r>
            <w:r w:rsidR="00F0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040AF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I.II</w:t>
            </w:r>
          </w:p>
        </w:tc>
        <w:tc>
          <w:tcPr>
            <w:tcW w:w="3763" w:type="dxa"/>
            <w:shd w:val="clear" w:color="auto" w:fill="CCFFCC"/>
          </w:tcPr>
          <w:p w:rsidR="00236870" w:rsidRP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236870" w:rsidRDefault="0023687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состояние требованиям административного регламента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36870" w:rsidRP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870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36870" w:rsidRDefault="0023687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состояние требованиям административного регламента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36870" w:rsidRP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236870" w:rsidRDefault="00E3680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соответствие требованиям административного регламента, направление межведомственного запроса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36870" w:rsidRDefault="00E3680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запроса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день со дня регистрации заявления </w:t>
            </w:r>
          </w:p>
          <w:p w:rsidR="00E36809" w:rsidRPr="00E36809" w:rsidRDefault="00E3680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межведомственный запрос – не более 5 рабочих дней 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36870" w:rsidRDefault="0023687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36870" w:rsidRDefault="0023687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870" w:rsidRPr="0033310C" w:rsidTr="003B1557">
        <w:tc>
          <w:tcPr>
            <w:tcW w:w="710" w:type="dxa"/>
          </w:tcPr>
          <w:p w:rsidR="00236870" w:rsidRPr="00236870" w:rsidRDefault="00236870" w:rsidP="0023687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36870" w:rsidRDefault="00236870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236870" w:rsidRDefault="0023687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368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82F5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зеленых насаждений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482F5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зеленых насаждений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67000A" w:rsidRDefault="00482F57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заявления специалист проводит обследование зеленых насаждений, указанных заявителем. Определяет их количество, видовой состав, качественное состояние.</w:t>
            </w:r>
          </w:p>
          <w:p w:rsidR="0067000A" w:rsidRPr="0033310C" w:rsidRDefault="0067000A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426A11" w:rsidP="00482F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выполнения действия составляет </w:t>
            </w:r>
            <w:r w:rsidR="0048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0E6E1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0E6E1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E14" w:rsidRPr="0033310C" w:rsidTr="00C54EA0">
        <w:tc>
          <w:tcPr>
            <w:tcW w:w="710" w:type="dxa"/>
          </w:tcPr>
          <w:p w:rsidR="000E6E14" w:rsidRPr="002C0B1B" w:rsidRDefault="000E6E14" w:rsidP="00E36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68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0E6E14" w:rsidRPr="00E36809" w:rsidRDefault="00E3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</w:t>
            </w:r>
          </w:p>
        </w:tc>
      </w:tr>
      <w:tr w:rsidR="000E6E14" w:rsidRPr="0033310C" w:rsidTr="00C54EA0">
        <w:tc>
          <w:tcPr>
            <w:tcW w:w="710" w:type="dxa"/>
          </w:tcPr>
          <w:p w:rsidR="000E6E14" w:rsidRPr="002C0B1B" w:rsidRDefault="000E6E14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0E6E14" w:rsidRDefault="00E36809"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</w:t>
            </w:r>
          </w:p>
        </w:tc>
      </w:tr>
      <w:tr w:rsidR="000E6E14" w:rsidRPr="0033310C" w:rsidTr="00BD1E96">
        <w:tc>
          <w:tcPr>
            <w:tcW w:w="710" w:type="dxa"/>
          </w:tcPr>
          <w:p w:rsidR="000E6E14" w:rsidRPr="002C0B1B" w:rsidRDefault="000E6E14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0E6E14" w:rsidRPr="00442EDA" w:rsidRDefault="0044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DA">
              <w:rPr>
                <w:rFonts w:ascii="Times New Roman" w:hAnsi="Times New Roman" w:cs="Times New Roman"/>
                <w:sz w:val="24"/>
                <w:szCs w:val="24"/>
              </w:rPr>
              <w:t>После подписания акта обследования зеленых насаждений специалист МКУ «ЦОДА КГО» уполномоченный на предоставление муниципальной услуги осуществляется подготовка проекта постановления</w:t>
            </w:r>
          </w:p>
        </w:tc>
      </w:tr>
      <w:tr w:rsidR="000E6E14" w:rsidRPr="0033310C" w:rsidTr="00BD1E96">
        <w:tc>
          <w:tcPr>
            <w:tcW w:w="710" w:type="dxa"/>
          </w:tcPr>
          <w:p w:rsidR="000E6E14" w:rsidRPr="002C0B1B" w:rsidRDefault="000E6E14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0E6E14" w:rsidRPr="00691929" w:rsidRDefault="0044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0E6E14" w:rsidRPr="0033310C" w:rsidTr="00BD1E96">
        <w:tc>
          <w:tcPr>
            <w:tcW w:w="710" w:type="dxa"/>
          </w:tcPr>
          <w:p w:rsidR="000E6E14" w:rsidRPr="002C0B1B" w:rsidRDefault="000E6E14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0E6E14" w:rsidRPr="00691929" w:rsidRDefault="00F61CEF" w:rsidP="0069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2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="00691929" w:rsidRPr="0069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E14" w:rsidRPr="0033310C" w:rsidTr="00BD1E96">
        <w:tc>
          <w:tcPr>
            <w:tcW w:w="710" w:type="dxa"/>
          </w:tcPr>
          <w:p w:rsidR="000E6E14" w:rsidRPr="002C0B1B" w:rsidRDefault="000E6E14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0E6E14" w:rsidRPr="00691929" w:rsidRDefault="0069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29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</w:tr>
      <w:tr w:rsidR="000E6E14" w:rsidRPr="0033310C" w:rsidTr="00BD1E96">
        <w:tc>
          <w:tcPr>
            <w:tcW w:w="710" w:type="dxa"/>
          </w:tcPr>
          <w:p w:rsidR="000E6E14" w:rsidRPr="002C0B1B" w:rsidRDefault="000E6E14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E6E14" w:rsidRPr="0033310C" w:rsidRDefault="000E6E14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0E6E14" w:rsidRDefault="00691929">
            <w:r>
              <w:t>-</w:t>
            </w: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442EDA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91929"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691929" w:rsidRPr="0033310C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691929" w:rsidRPr="0033310C" w:rsidRDefault="0069192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691929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691929" w:rsidRPr="0033310C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691929" w:rsidRPr="0033310C" w:rsidRDefault="00D74D6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691929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0F64A9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  <w:p w:rsidR="000F64A9" w:rsidRDefault="000F64A9" w:rsidP="000F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29" w:rsidRPr="000F64A9" w:rsidRDefault="000F64A9" w:rsidP="000F64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98" w:type="dxa"/>
          </w:tcPr>
          <w:p w:rsidR="00691929" w:rsidRDefault="0069192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сроки;</w:t>
            </w:r>
          </w:p>
          <w:p w:rsidR="00691929" w:rsidRPr="0033310C" w:rsidRDefault="00691929" w:rsidP="00D7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проверяет документ, удостоверяющий личность заявителя,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заявителю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правильность указанных в </w:t>
            </w:r>
            <w:r w:rsidR="00D7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разрешении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</w:t>
            </w: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691929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691929" w:rsidRPr="0033310C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691929" w:rsidRPr="0033310C" w:rsidRDefault="0069192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691929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691929" w:rsidRPr="0033310C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691929" w:rsidRDefault="00F271CC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691929" w:rsidRPr="0033310C" w:rsidRDefault="0069192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691929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691929" w:rsidRPr="0033310C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691929" w:rsidRPr="0033310C" w:rsidRDefault="0069192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691929" w:rsidRPr="0033310C" w:rsidTr="00BD1E96">
        <w:tc>
          <w:tcPr>
            <w:tcW w:w="710" w:type="dxa"/>
          </w:tcPr>
          <w:p w:rsidR="00691929" w:rsidRPr="002C0B1B" w:rsidRDefault="00691929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691929" w:rsidRPr="0033310C" w:rsidRDefault="00691929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91929" w:rsidRPr="0033310C" w:rsidRDefault="00691929" w:rsidP="000C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5"/>
        <w:gridCol w:w="503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A70680" w:rsidRPr="0033310C" w:rsidRDefault="00B14CD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зеленых насаждений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3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</w:t>
            </w:r>
            <w:proofErr w:type="spellStart"/>
            <w:r w:rsidR="003E7C3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3E7C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81762" w:rsidRPr="00A712EF" w:rsidRDefault="00A712EF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  <w:p w:rsidR="00A70680" w:rsidRPr="0033310C" w:rsidRDefault="00A70680" w:rsidP="0088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  <w:p w:rsidR="007E4C11" w:rsidRPr="0033310C" w:rsidRDefault="007E4C11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327BD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33310C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B14CD8" w:rsidRDefault="00B14CD8" w:rsidP="00C06203">
      <w:pPr>
        <w:rPr>
          <w:rFonts w:ascii="Times New Roman" w:hAnsi="Times New Roman" w:cs="Times New Roman"/>
          <w:sz w:val="24"/>
          <w:szCs w:val="24"/>
        </w:rPr>
      </w:pPr>
    </w:p>
    <w:p w:rsidR="00B14CD8" w:rsidRDefault="00B14CD8" w:rsidP="00C06203">
      <w:pPr>
        <w:rPr>
          <w:rFonts w:ascii="Times New Roman" w:hAnsi="Times New Roman" w:cs="Times New Roman"/>
          <w:sz w:val="24"/>
          <w:szCs w:val="24"/>
        </w:rPr>
      </w:pPr>
    </w:p>
    <w:p w:rsidR="00B14CD8" w:rsidRDefault="00B14CD8" w:rsidP="00C06203">
      <w:pPr>
        <w:rPr>
          <w:rFonts w:ascii="Times New Roman" w:hAnsi="Times New Roman" w:cs="Times New Roman"/>
          <w:sz w:val="24"/>
          <w:szCs w:val="24"/>
        </w:rPr>
      </w:pPr>
    </w:p>
    <w:p w:rsidR="00422B2B" w:rsidRDefault="00422B2B" w:rsidP="00C06203">
      <w:pPr>
        <w:rPr>
          <w:rFonts w:ascii="Times New Roman" w:hAnsi="Times New Roman" w:cs="Times New Roman"/>
          <w:sz w:val="24"/>
          <w:szCs w:val="24"/>
        </w:rPr>
      </w:pPr>
    </w:p>
    <w:sectPr w:rsidR="00422B2B" w:rsidSect="000F64A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7B" w:rsidRDefault="00AA1C7B" w:rsidP="00575DEB">
      <w:pPr>
        <w:spacing w:after="0" w:line="240" w:lineRule="auto"/>
      </w:pPr>
      <w:r>
        <w:separator/>
      </w:r>
    </w:p>
  </w:endnote>
  <w:endnote w:type="continuationSeparator" w:id="0">
    <w:p w:rsidR="00AA1C7B" w:rsidRDefault="00AA1C7B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7B" w:rsidRDefault="00AA1C7B" w:rsidP="00575DEB">
      <w:pPr>
        <w:spacing w:after="0" w:line="240" w:lineRule="auto"/>
      </w:pPr>
      <w:r>
        <w:separator/>
      </w:r>
    </w:p>
  </w:footnote>
  <w:footnote w:type="continuationSeparator" w:id="0">
    <w:p w:rsidR="00AA1C7B" w:rsidRDefault="00AA1C7B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5F85" w:rsidRPr="00575DEB" w:rsidRDefault="00465F85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A712EF">
          <w:rPr>
            <w:noProof/>
            <w:sz w:val="28"/>
            <w:szCs w:val="28"/>
          </w:rPr>
          <w:t>11</w:t>
        </w:r>
        <w:r w:rsidRPr="00575DEB">
          <w:rPr>
            <w:sz w:val="28"/>
            <w:szCs w:val="28"/>
          </w:rPr>
          <w:fldChar w:fldCharType="end"/>
        </w:r>
      </w:p>
    </w:sdtContent>
  </w:sdt>
  <w:p w:rsidR="00465F85" w:rsidRDefault="00465F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0774E"/>
    <w:multiLevelType w:val="hybridMultilevel"/>
    <w:tmpl w:val="B1E085A2"/>
    <w:lvl w:ilvl="0" w:tplc="F994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5FD5"/>
    <w:rsid w:val="00031986"/>
    <w:rsid w:val="00032F6E"/>
    <w:rsid w:val="00040AFD"/>
    <w:rsid w:val="000566DA"/>
    <w:rsid w:val="00062801"/>
    <w:rsid w:val="000727FE"/>
    <w:rsid w:val="00085BBF"/>
    <w:rsid w:val="00087F4A"/>
    <w:rsid w:val="00092EF3"/>
    <w:rsid w:val="0009537B"/>
    <w:rsid w:val="000A6140"/>
    <w:rsid w:val="000B3DAE"/>
    <w:rsid w:val="000B7C8A"/>
    <w:rsid w:val="000C5113"/>
    <w:rsid w:val="000E6E14"/>
    <w:rsid w:val="000F347D"/>
    <w:rsid w:val="000F64A9"/>
    <w:rsid w:val="000F6ED2"/>
    <w:rsid w:val="00106825"/>
    <w:rsid w:val="00110A42"/>
    <w:rsid w:val="001219DF"/>
    <w:rsid w:val="001346DA"/>
    <w:rsid w:val="00136038"/>
    <w:rsid w:val="00184915"/>
    <w:rsid w:val="001A20A3"/>
    <w:rsid w:val="001A2A08"/>
    <w:rsid w:val="001A2D5A"/>
    <w:rsid w:val="001B54C6"/>
    <w:rsid w:val="001B728E"/>
    <w:rsid w:val="001C3D55"/>
    <w:rsid w:val="001F158F"/>
    <w:rsid w:val="001F56FC"/>
    <w:rsid w:val="00230BBE"/>
    <w:rsid w:val="00236870"/>
    <w:rsid w:val="00242937"/>
    <w:rsid w:val="00247E03"/>
    <w:rsid w:val="00253F54"/>
    <w:rsid w:val="00256A44"/>
    <w:rsid w:val="00271BB0"/>
    <w:rsid w:val="00273638"/>
    <w:rsid w:val="002B5DE6"/>
    <w:rsid w:val="002C0B1B"/>
    <w:rsid w:val="002F75B0"/>
    <w:rsid w:val="00304963"/>
    <w:rsid w:val="00322421"/>
    <w:rsid w:val="003252B8"/>
    <w:rsid w:val="00327BD2"/>
    <w:rsid w:val="0033310C"/>
    <w:rsid w:val="003504A6"/>
    <w:rsid w:val="0035638C"/>
    <w:rsid w:val="00371039"/>
    <w:rsid w:val="00387AEC"/>
    <w:rsid w:val="00390E03"/>
    <w:rsid w:val="00394A9B"/>
    <w:rsid w:val="003B08CB"/>
    <w:rsid w:val="003B1557"/>
    <w:rsid w:val="003D0916"/>
    <w:rsid w:val="003E0883"/>
    <w:rsid w:val="003E6C07"/>
    <w:rsid w:val="003E7C39"/>
    <w:rsid w:val="00400926"/>
    <w:rsid w:val="004041B9"/>
    <w:rsid w:val="00422B2B"/>
    <w:rsid w:val="004266B9"/>
    <w:rsid w:val="00426A11"/>
    <w:rsid w:val="00442EDA"/>
    <w:rsid w:val="00451693"/>
    <w:rsid w:val="0046092B"/>
    <w:rsid w:val="00465490"/>
    <w:rsid w:val="00465F85"/>
    <w:rsid w:val="00470C8D"/>
    <w:rsid w:val="00482F57"/>
    <w:rsid w:val="0048572F"/>
    <w:rsid w:val="00493C88"/>
    <w:rsid w:val="004A2FBA"/>
    <w:rsid w:val="004D3A6E"/>
    <w:rsid w:val="004D56B1"/>
    <w:rsid w:val="004F66EB"/>
    <w:rsid w:val="00504612"/>
    <w:rsid w:val="00523F1F"/>
    <w:rsid w:val="0053623C"/>
    <w:rsid w:val="005535DE"/>
    <w:rsid w:val="005658DA"/>
    <w:rsid w:val="00575DEB"/>
    <w:rsid w:val="005865BC"/>
    <w:rsid w:val="005958FC"/>
    <w:rsid w:val="00595AAA"/>
    <w:rsid w:val="005B7910"/>
    <w:rsid w:val="005C68ED"/>
    <w:rsid w:val="005D3774"/>
    <w:rsid w:val="005D7D85"/>
    <w:rsid w:val="005E7192"/>
    <w:rsid w:val="006234C6"/>
    <w:rsid w:val="00634D1D"/>
    <w:rsid w:val="00643F48"/>
    <w:rsid w:val="00647AC3"/>
    <w:rsid w:val="0065206A"/>
    <w:rsid w:val="00662136"/>
    <w:rsid w:val="00663FF2"/>
    <w:rsid w:val="0067000A"/>
    <w:rsid w:val="00674237"/>
    <w:rsid w:val="00691929"/>
    <w:rsid w:val="00693C89"/>
    <w:rsid w:val="0069689D"/>
    <w:rsid w:val="006B6144"/>
    <w:rsid w:val="006D5910"/>
    <w:rsid w:val="006E5262"/>
    <w:rsid w:val="007016D3"/>
    <w:rsid w:val="00701DAE"/>
    <w:rsid w:val="00710E8D"/>
    <w:rsid w:val="007305A4"/>
    <w:rsid w:val="0074224B"/>
    <w:rsid w:val="0075502E"/>
    <w:rsid w:val="007557C4"/>
    <w:rsid w:val="00770CF9"/>
    <w:rsid w:val="00771510"/>
    <w:rsid w:val="00795A43"/>
    <w:rsid w:val="007C5E42"/>
    <w:rsid w:val="007D4E25"/>
    <w:rsid w:val="007E4C11"/>
    <w:rsid w:val="008012CC"/>
    <w:rsid w:val="00807D5F"/>
    <w:rsid w:val="00810DC5"/>
    <w:rsid w:val="00812BE1"/>
    <w:rsid w:val="00851CAA"/>
    <w:rsid w:val="00866B59"/>
    <w:rsid w:val="00876245"/>
    <w:rsid w:val="00881762"/>
    <w:rsid w:val="00883FD0"/>
    <w:rsid w:val="00895358"/>
    <w:rsid w:val="008A7368"/>
    <w:rsid w:val="008B6356"/>
    <w:rsid w:val="008C0A1A"/>
    <w:rsid w:val="008D1C77"/>
    <w:rsid w:val="008E23FC"/>
    <w:rsid w:val="00902454"/>
    <w:rsid w:val="009052BE"/>
    <w:rsid w:val="00910C55"/>
    <w:rsid w:val="00910F68"/>
    <w:rsid w:val="0092133B"/>
    <w:rsid w:val="00922CCC"/>
    <w:rsid w:val="009619E7"/>
    <w:rsid w:val="00961AD8"/>
    <w:rsid w:val="00982CEA"/>
    <w:rsid w:val="00987316"/>
    <w:rsid w:val="009A2521"/>
    <w:rsid w:val="009A3D0C"/>
    <w:rsid w:val="009E70A6"/>
    <w:rsid w:val="00A43247"/>
    <w:rsid w:val="00A454A7"/>
    <w:rsid w:val="00A45E12"/>
    <w:rsid w:val="00A45FF8"/>
    <w:rsid w:val="00A57BD9"/>
    <w:rsid w:val="00A70680"/>
    <w:rsid w:val="00A712EF"/>
    <w:rsid w:val="00A81AE2"/>
    <w:rsid w:val="00A847E6"/>
    <w:rsid w:val="00A904C7"/>
    <w:rsid w:val="00AA1C7B"/>
    <w:rsid w:val="00AA265A"/>
    <w:rsid w:val="00AB0530"/>
    <w:rsid w:val="00AC1C6B"/>
    <w:rsid w:val="00AD550D"/>
    <w:rsid w:val="00AE630A"/>
    <w:rsid w:val="00AF2F54"/>
    <w:rsid w:val="00B0769A"/>
    <w:rsid w:val="00B14CD8"/>
    <w:rsid w:val="00B15E7A"/>
    <w:rsid w:val="00B218B3"/>
    <w:rsid w:val="00B25686"/>
    <w:rsid w:val="00B62A58"/>
    <w:rsid w:val="00B63C5D"/>
    <w:rsid w:val="00BB2AD7"/>
    <w:rsid w:val="00BD1E96"/>
    <w:rsid w:val="00BD2892"/>
    <w:rsid w:val="00BF52C5"/>
    <w:rsid w:val="00BF5699"/>
    <w:rsid w:val="00C06203"/>
    <w:rsid w:val="00C10986"/>
    <w:rsid w:val="00C51FA2"/>
    <w:rsid w:val="00C54EA0"/>
    <w:rsid w:val="00C660AF"/>
    <w:rsid w:val="00C67669"/>
    <w:rsid w:val="00C72830"/>
    <w:rsid w:val="00C74D7D"/>
    <w:rsid w:val="00C751FF"/>
    <w:rsid w:val="00C86BE1"/>
    <w:rsid w:val="00C93BC2"/>
    <w:rsid w:val="00CC3728"/>
    <w:rsid w:val="00CF7A6E"/>
    <w:rsid w:val="00D033FF"/>
    <w:rsid w:val="00D112A5"/>
    <w:rsid w:val="00D21710"/>
    <w:rsid w:val="00D50D50"/>
    <w:rsid w:val="00D532CA"/>
    <w:rsid w:val="00D74D69"/>
    <w:rsid w:val="00DA14EF"/>
    <w:rsid w:val="00DA7B7D"/>
    <w:rsid w:val="00DB2DEB"/>
    <w:rsid w:val="00DC0198"/>
    <w:rsid w:val="00DC15F4"/>
    <w:rsid w:val="00DE28CE"/>
    <w:rsid w:val="00DF1F73"/>
    <w:rsid w:val="00E03D98"/>
    <w:rsid w:val="00E1743B"/>
    <w:rsid w:val="00E35FAC"/>
    <w:rsid w:val="00E36809"/>
    <w:rsid w:val="00E61778"/>
    <w:rsid w:val="00E933BE"/>
    <w:rsid w:val="00E93D69"/>
    <w:rsid w:val="00E96AA7"/>
    <w:rsid w:val="00EA0E3B"/>
    <w:rsid w:val="00EA49B4"/>
    <w:rsid w:val="00EA72CB"/>
    <w:rsid w:val="00EE0EF7"/>
    <w:rsid w:val="00EF1592"/>
    <w:rsid w:val="00EF17E3"/>
    <w:rsid w:val="00EF4328"/>
    <w:rsid w:val="00F00129"/>
    <w:rsid w:val="00F03234"/>
    <w:rsid w:val="00F23ADD"/>
    <w:rsid w:val="00F271CC"/>
    <w:rsid w:val="00F56B4C"/>
    <w:rsid w:val="00F61CEF"/>
    <w:rsid w:val="00F813E6"/>
    <w:rsid w:val="00F90FE5"/>
    <w:rsid w:val="00F92E90"/>
    <w:rsid w:val="00F93181"/>
    <w:rsid w:val="00FB6225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F8A6"/>
  <w15:docId w15:val="{5E757200-F405-41D3-AB64-0CD3AA4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Юля</cp:lastModifiedBy>
  <cp:revision>19</cp:revision>
  <cp:lastPrinted>2023-03-29T09:45:00Z</cp:lastPrinted>
  <dcterms:created xsi:type="dcterms:W3CDTF">2023-03-29T03:41:00Z</dcterms:created>
  <dcterms:modified xsi:type="dcterms:W3CDTF">2023-03-29T10:32:00Z</dcterms:modified>
</cp:coreProperties>
</file>