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3"/>
        <w:jc w:val="center"/>
        <w:rPr/>
      </w:pPr>
      <w:r>
        <w:rPr>
          <w:rStyle w:val="Style23"/>
        </w:rPr>
        <w:t xml:space="preserve"> </w:t>
      </w:r>
      <w:r>
        <w:rPr>
          <w:color w:val="000000"/>
          <w:sz w:val="28"/>
          <w:szCs w:val="28"/>
        </w:rPr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23"/>
        </w:rPr>
        <w:br/>
      </w:r>
      <w:r>
        <w:rPr>
          <w:rStyle w:val="Style23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43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43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rPr/>
      </w:pPr>
      <w:r>
        <w:rPr>
          <w:rStyle w:val="Style2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2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01.09</w:t>
      </w:r>
      <w:r>
        <w:rPr>
          <w:rStyle w:val="Style2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.2021   № </w:t>
      </w:r>
      <w:r>
        <w:rPr>
          <w:rStyle w:val="Style2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6</w:t>
      </w:r>
      <w:r>
        <w:rPr>
          <w:rStyle w:val="Style23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12</w:t>
      </w:r>
    </w:p>
    <w:p>
      <w:pPr>
        <w:pStyle w:val="Normal"/>
        <w:rPr>
          <w:rStyle w:val="Style23"/>
          <w:rFonts w:ascii="Liberation Serif;Times New Roman" w:hAnsi="Liberation Serif;Times New Roman" w:eastAsia="Calibri" w:cs="Liberation Serif;Times New Roman"/>
          <w:b/>
          <w:b/>
          <w:bCs/>
          <w:i w:val="false"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</w:pPr>
      <w:r>
        <w:rPr/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проведения конкурсного отбора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предоставление из бюджета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b/>
          <w:bCs/>
          <w:color w:val="000000"/>
          <w:sz w:val="28"/>
          <w:szCs w:val="28"/>
        </w:rPr>
        <w:t xml:space="preserve">субсидий на </w:t>
      </w:r>
      <w:r>
        <w:rPr>
          <w:rFonts w:cs="Times New Roman"/>
          <w:b/>
          <w:bCs/>
          <w:color w:val="000000"/>
          <w:sz w:val="28"/>
          <w:szCs w:val="28"/>
        </w:rPr>
        <w:t>компенсацию части затрат по развитию бизнеса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территории Камышловского городского округа в 2021 году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</w:t>
      </w:r>
      <w:r>
        <w:rPr>
          <w:rFonts w:cs="Times New Roman"/>
          <w:color w:val="000000"/>
          <w:sz w:val="28"/>
          <w:szCs w:val="28"/>
        </w:rPr>
        <w:t>от 24.07.2007 года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_Hlk495410720"/>
      <w:r>
        <w:rPr>
          <w:color w:val="000000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bCs/>
          <w:color w:val="000000"/>
          <w:sz w:val="28"/>
          <w:szCs w:val="28"/>
        </w:rPr>
        <w:t xml:space="preserve">Постановлением администрации Камышловского городского округа от 23.08.2021 № 586 «Об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Cs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округа», </w:t>
      </w:r>
      <w:r>
        <w:rPr>
          <w:rFonts w:cs="Times New Roman"/>
          <w:color w:val="000000"/>
          <w:sz w:val="28"/>
          <w:szCs w:val="28"/>
        </w:rPr>
        <w:t xml:space="preserve"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в соответствии с Приказом финансового управления администрации Камышловского городского округа от 29.12.2020 г. №119-О «Об утверждении </w:t>
      </w:r>
      <w:r>
        <w:rPr>
          <w:rFonts w:cs="Times New Roman"/>
          <w:bCs/>
          <w:color w:val="000000"/>
          <w:sz w:val="28"/>
          <w:szCs w:val="28"/>
        </w:rPr>
        <w:t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Федерации»,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 xml:space="preserve">1. Организовать конкурсный отбор на предоставление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(далее - СМСП) на территории Камышловского городского округа</w:t>
      </w:r>
      <w:r>
        <w:rPr>
          <w:color w:val="000000"/>
          <w:sz w:val="28"/>
          <w:szCs w:val="28"/>
        </w:rPr>
        <w:t xml:space="preserve"> в 2021 году в соответствии с Порядком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округа, утвержденным постановлением администрации Камышловского городского округа от 23.08.2021 № 586, (далее - Порядок)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>1.1. В период с момента опубликования в средствах массовой информации объявления о конкурсном отборе по 0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октября 2021 года производится прием заявок на участие в конкурсном отборе на право получения из бюджета Камышловского городского округа субсидии на компенсацию части затрат по развитию бизнеса субъектам малого и среднего предпринимательства на территории Камышловского городского округа.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 xml:space="preserve">Заявки принимаются </w:t>
      </w:r>
      <w:r>
        <w:rPr>
          <w:rFonts w:cs="Liberation Serif"/>
          <w:bCs/>
          <w:color w:val="000000"/>
          <w:sz w:val="28"/>
          <w:szCs w:val="28"/>
        </w:rPr>
        <w:t>по форме согласно Приложению №1 к Порядку по адресу: 624860, Свердловская область, г.Камышлов, ул.Свердлова, д.41, каб.5 с 8.00 до 12.00 часов и 13.00 до 16.00 часов в рабочие дни.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</w:t>
      </w:r>
      <w:hyperlink r:id="rId3" w:tgtFrame="_top">
        <w:r>
          <w:rPr>
            <w:rStyle w:val="Style"/>
            <w:rFonts w:cs="Liberation Serif"/>
            <w:bCs/>
            <w:color w:val="000000"/>
            <w:sz w:val="28"/>
            <w:szCs w:val="28"/>
          </w:rPr>
          <w:t>заявка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заверенная руководителем СМСП копия устава организации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копия документа, подтверждающего регистрацию СМСП в качестве юридического лица, заверенная руководителем организации (для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информация об основных мероприятиях СМСП за последний год, в том числе реализованных за счет собственных средств;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документы, подтверждающие фактически произведенные затраты (недополученные доходы), а также при необходимости о требованиях к таким документам.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Документы, представленные СМСП, не возвращаются.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Ответственность за полноту и достоверность предоставленных документов несет СМСП.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>Заявка и документы, указанные в пункте 2.3.1. главы 3. раздела 2. Порядка, предоставляются в администрацию СМСП в прошитом виде  до 16 часов местного времени 0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октября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color w:val="000000"/>
          <w:sz w:val="28"/>
          <w:szCs w:val="28"/>
        </w:rPr>
        <w:t>Заявки, поступившие после 0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октября 2021 года, не регистрируются и не рассматриваются.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Участник отбора вправе подать только одну заявку (предложение).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Консультации по вопросам подготовки заявок на участие в отборе можно получить по телефону: 8 (34375) 2 45 55.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- </w:t>
      </w:r>
      <w:r>
        <w:rPr>
          <w:rFonts w:cs="Liberation Serif"/>
          <w:color w:val="000000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Style w:val="Style"/>
            <w:rFonts w:cs="Liberation Serif"/>
            <w:color w:val="000000"/>
            <w:sz w:val="28"/>
            <w:szCs w:val="28"/>
          </w:rPr>
          <w:t>пункте 1.5;</w:t>
        </w:r>
      </w:hyperlink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cs="Liberation Serif"/>
          <w:color w:val="000000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/>
          <w:color w:val="000000"/>
          <w:sz w:val="28"/>
          <w:szCs w:val="28"/>
          <w:lang w:bidi="hi-IN"/>
        </w:rPr>
        <w:t>СМСП</w:t>
      </w:r>
      <w:r>
        <w:rPr>
          <w:rFonts w:cs="Liberation Serif"/>
          <w:color w:val="000000"/>
          <w:sz w:val="28"/>
          <w:szCs w:val="28"/>
        </w:rPr>
        <w:t>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cs="Liberation Serif"/>
          <w:color w:val="000000"/>
          <w:sz w:val="28"/>
          <w:szCs w:val="28"/>
        </w:rPr>
        <w:t>- подача участником отбора заявки после 16.00 часов 0</w:t>
      </w:r>
      <w:r>
        <w:rPr>
          <w:rFonts w:cs="Liberation Serif"/>
          <w:color w:val="000000"/>
          <w:sz w:val="28"/>
          <w:szCs w:val="28"/>
        </w:rPr>
        <w:t>4</w:t>
      </w:r>
      <w:r>
        <w:rPr>
          <w:rFonts w:cs="Liberation Serif"/>
          <w:color w:val="000000"/>
          <w:sz w:val="28"/>
          <w:szCs w:val="28"/>
        </w:rPr>
        <w:t xml:space="preserve"> октября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По окончании срока приема заявок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cs="Liberation Serif"/>
          <w:bCs/>
          <w:color w:val="000000"/>
          <w:sz w:val="28"/>
          <w:szCs w:val="28"/>
        </w:rPr>
        <w:t xml:space="preserve">1.2. В целях </w:t>
      </w:r>
      <w:r>
        <w:rPr>
          <w:rFonts w:cs="Times New Roman"/>
          <w:bCs/>
          <w:color w:val="000000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/>
          <w:sz w:val="28"/>
          <w:szCs w:val="28"/>
          <w:lang w:eastAsia="en-US"/>
        </w:rPr>
        <w:t>, с</w:t>
      </w:r>
      <w:r>
        <w:rPr>
          <w:rFonts w:cs="Times New Roman"/>
          <w:bCs/>
          <w:color w:val="000000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строительство объектов для осуществления предпринимательской деятельности;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капитальный ремонт помещений;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ind w:left="0" w:right="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1.3.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строительство зданий для промышленного производства;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производство и услуги обрабатывающей промышленности;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оказание бытовых услуг населению;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развитие сферы общественного питания;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-113" w:firstLine="850"/>
        <w:jc w:val="both"/>
        <w:textAlignment w:val="auto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1.4.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Предоставление субсидий на цели, предусмотренные пунктом 1.6. раздела 1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Показателем результативности использования субсидий, соответствующих целям, предусмотренным пунктом 1.6. раздела 1 Порядка, является </w:t>
      </w:r>
      <w:r>
        <w:rPr>
          <w:rFonts w:ascii="Liberation Serif" w:hAnsi="Liberation Serif"/>
          <w:color w:val="000000"/>
          <w:sz w:val="28"/>
          <w:szCs w:val="28"/>
        </w:rPr>
        <w:t>количество вновь созданных рабочих мест до 31 декабря 2021 года (единиц).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35"/>
        <w:widowControl w:val="false"/>
        <w:shd w:fill="FFFFFF" w:val="clear"/>
        <w:suppressAutoHyphens w:val="true"/>
        <w:overflowPunct w:val="false"/>
        <w:bidi w:val="0"/>
        <w:spacing w:lineRule="exact" w:line="320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1.5. СМСП для участия в отборе должен соответствовать требованиям на первое августа 2021 года.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осуществляющие деятельность в сферах, указанных в пункте 1.5.  Порядка;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1" w:name="_Hlk49541149011"/>
      <w:bookmarkEnd w:id="1"/>
      <w:r>
        <w:rPr>
          <w:rFonts w:cs="Liberation Serif"/>
          <w:bCs/>
          <w:color w:val="000000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</w:rPr>
      </w:pPr>
      <w:r>
        <w:rPr>
          <w:rFonts w:cs="Liberation Serif"/>
          <w:bCs/>
          <w:color w:val="000000"/>
          <w:sz w:val="28"/>
          <w:szCs w:val="28"/>
        </w:rPr>
        <w:t xml:space="preserve">4) </w:t>
      </w:r>
      <w:bookmarkStart w:id="2" w:name="_Hlk5174252071"/>
      <w:r>
        <w:rPr>
          <w:rFonts w:cs="Liberation Serif"/>
          <w:bCs/>
          <w:color w:val="000000"/>
          <w:sz w:val="28"/>
          <w:szCs w:val="28"/>
        </w:rPr>
        <w:t xml:space="preserve">на первое августа 2021года не имеющие </w:t>
      </w:r>
      <w:bookmarkEnd w:id="2"/>
      <w:r>
        <w:rPr>
          <w:rFonts w:cs="Liberation Serif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5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1.6.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/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1.7. Максимальный размер субсидии для одного субъекта малого или среднего предпринимательства составляет 85% произведенных расходов </w:t>
      </w:r>
      <w:r>
        <w:rPr>
          <w:rFonts w:eastAsia="Times New Roman" w:cs="Times New Roman" w:ascii="Liberation Serif" w:hAnsi="Liberation Serif"/>
          <w:bCs/>
          <w:color w:val="000000"/>
          <w:kern w:val="2"/>
          <w:sz w:val="28"/>
          <w:szCs w:val="28"/>
          <w:lang w:val="ru-RU" w:eastAsia="zh-CN" w:bidi="hi-IN"/>
        </w:rPr>
        <w:t>в пределах утвержденных лимитов бюджетных обязательств на указанные цели.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В качестве компенсации части затрат могут быть приняты расходы, произведенные до подачи заявки на получение субсидии, но не ранее двух предшествующих лет, с даты подачи заявки на предоставление субсидии.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Разъяснения порядка подготовки заявок на участие в конкурсе на предоставление из бюджета Камышловского городского округа субсидий на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 xml:space="preserve">компенсацию части затрат по развитию бизнеса субъекты малого и среднего предпринимательства могут получить в отделе экономики администрации Камышловского городского округа по адресу: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624860, Свердловская область, г.Камышлов, ул.Свердлова, д.41, каб.2, а также устные консультации по вопросам подготовки документов на участие в отборе по телефону 8 (34375) 2-45-55 с 8.00 до 12.00 часов и 13.00 до 16.00 часов в рабочие дни.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Отделу экономики администрации Камышловского городского округа (Н.В.Акимова) информировать субъекты малого и среднего предпринимательства об условиях и Порядке предоставления субсидий путем размещения объявления на официальном сайте Камышловского городского округа и в газете «Камышловские известия» в течении 14 дней с даты утверждения данного постановления.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35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Глава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27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nstant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Style43"/>
    <w:next w:val="Style43"/>
    <w:qFormat/>
    <w:pPr>
      <w:keepNext w:val="true"/>
      <w:numPr>
        <w:ilvl w:val="0"/>
        <w:numId w:val="0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Style12">
    <w:name w:val="Основной текст Знак"/>
    <w:qFormat/>
    <w:rPr>
      <w:b/>
      <w:sz w:val="24"/>
      <w:lang w:val="ru-RU" w:bidi="ar-SA"/>
    </w:rPr>
  </w:style>
  <w:style w:type="character" w:styleId="Style13">
    <w:name w:val="Основной текст с отступом Знак"/>
    <w:qFormat/>
    <w:rPr>
      <w:sz w:val="28"/>
      <w:lang w:val="ru-RU" w:bidi="ar-SA"/>
    </w:rPr>
  </w:style>
  <w:style w:type="character" w:styleId="Style14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5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1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highlight w:val="white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highlight w:val="white"/>
    </w:rPr>
  </w:style>
  <w:style w:type="character" w:styleId="32">
    <w:name w:val="Заголовок №3_"/>
    <w:basedOn w:val="DefaultParagraphFont"/>
    <w:qFormat/>
    <w:rPr>
      <w:rFonts w:ascii="Arial" w:hAnsi="Arial" w:cs="Arial"/>
      <w:b/>
      <w:bCs/>
      <w:highlight w:val="white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3TimesNewRoman">
    <w:name w:val="Заголовок №3 + Times New Roman"/>
    <w:basedOn w:val="32"/>
    <w:qFormat/>
    <w:rPr>
      <w:rFonts w:ascii="Times New Roman" w:hAnsi="Times New Roman" w:cs="Times New Roman"/>
      <w:b/>
      <w:bCs/>
      <w:sz w:val="28"/>
      <w:szCs w:val="28"/>
      <w:highlight w:val="white"/>
    </w:rPr>
  </w:style>
  <w:style w:type="character" w:styleId="33">
    <w:name w:val="Заголовок №3"/>
    <w:basedOn w:val="32"/>
    <w:qFormat/>
    <w:rPr>
      <w:rFonts w:ascii="Arial" w:hAnsi="Arial" w:cs="Arial"/>
      <w:b/>
      <w:bCs/>
      <w:highlight w:val="white"/>
      <w:u w:val="single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highlight w:val="white"/>
      <w:u w:val="none"/>
    </w:rPr>
  </w:style>
  <w:style w:type="character" w:styleId="Style16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highlight w:val="white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highlight w:val="white"/>
      <w:u w:val="none"/>
    </w:rPr>
  </w:style>
  <w:style w:type="character" w:styleId="Style17">
    <w:name w:val="Верхний колонтитул Знак"/>
    <w:basedOn w:val="DefaultParagraphFont"/>
    <w:qFormat/>
    <w:rPr>
      <w:szCs w:val="21"/>
    </w:rPr>
  </w:style>
  <w:style w:type="character" w:styleId="Style18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Style20">
    <w:name w:val="Основной текст + Курсив"/>
    <w:basedOn w:val="Style19"/>
    <w:qFormat/>
    <w:rPr>
      <w:rFonts w:ascii="Times New Roman" w:hAnsi="Times New Roman" w:eastAsia="Times New Roman" w:cs="Times New Roman"/>
      <w:i/>
      <w:iCs/>
      <w:sz w:val="26"/>
      <w:szCs w:val="26"/>
      <w:highlight w:val="white"/>
    </w:rPr>
  </w:style>
  <w:style w:type="character" w:styleId="Style21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highlight w:val="white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highlight w:val="white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highlight w:val="white"/>
      <w:u w:val="none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character" w:styleId="24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23">
    <w:name w:val="Основной шрифт абзаца"/>
    <w:qFormat/>
    <w:rPr/>
  </w:style>
  <w:style w:type="paragraph" w:styleId="Style24">
    <w:name w:val="Заголовок"/>
    <w:basedOn w:val="Normal"/>
    <w:next w:val="Style25"/>
    <w:qFormat/>
    <w:pPr>
      <w:jc w:val="center"/>
    </w:pPr>
    <w:rPr>
      <w:b/>
      <w:i/>
      <w:sz w:val="28"/>
      <w:szCs w:val="20"/>
    </w:rPr>
  </w:style>
  <w:style w:type="paragraph" w:styleId="Style25">
    <w:name w:val="Body Text"/>
    <w:basedOn w:val="Normal"/>
    <w:pPr>
      <w:jc w:val="center"/>
    </w:pPr>
    <w:rPr>
      <w:b/>
      <w:szCs w:val="20"/>
    </w:rPr>
  </w:style>
  <w:style w:type="paragraph" w:styleId="Style26">
    <w:name w:val="List"/>
    <w:basedOn w:val="Style25"/>
    <w:pPr/>
    <w:rPr/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29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0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1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2">
    <w:name w:val="Содержимое таблицы"/>
    <w:basedOn w:val="Standard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4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4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5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6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8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5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paragraph" w:styleId="Style40">
    <w:name w:val="Абзац списка"/>
    <w:basedOn w:val="Style43"/>
    <w:qFormat/>
    <w:pPr>
      <w:tabs>
        <w:tab w:val="clear" w:pos="709"/>
      </w:tabs>
      <w:suppressAutoHyphens w:val="true"/>
      <w:ind w:left="720" w:right="0" w:hanging="0"/>
    </w:pPr>
    <w:rPr>
      <w:sz w:val="24"/>
      <w:szCs w:val="24"/>
    </w:rPr>
  </w:style>
  <w:style w:type="paragraph" w:styleId="Style41">
    <w:name w:val="Текст выноски"/>
    <w:basedOn w:val="Style4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6">
    <w:name w:val="Основной текст 3"/>
    <w:basedOn w:val="Style43"/>
    <w:qFormat/>
    <w:pPr>
      <w:suppressAutoHyphens w:val="true"/>
      <w:jc w:val="center"/>
    </w:pPr>
    <w:rPr>
      <w:b/>
      <w:i/>
      <w:iCs/>
      <w:sz w:val="28"/>
    </w:rPr>
  </w:style>
  <w:style w:type="paragraph" w:styleId="25">
    <w:name w:val="Основной текст с отступом 2"/>
    <w:basedOn w:val="Style43"/>
    <w:qFormat/>
    <w:pPr>
      <w:suppressAutoHyphens w:val="true"/>
      <w:ind w:left="0" w:right="0" w:firstLine="851"/>
      <w:jc w:val="both"/>
    </w:pPr>
    <w:rPr/>
  </w:style>
  <w:style w:type="paragraph" w:styleId="26">
    <w:name w:val="Основной текст 2"/>
    <w:basedOn w:val="Style43"/>
    <w:qFormat/>
    <w:pPr>
      <w:suppressAutoHyphens w:val="true"/>
      <w:jc w:val="both"/>
    </w:pPr>
    <w:rPr>
      <w:sz w:val="28"/>
    </w:rPr>
  </w:style>
  <w:style w:type="paragraph" w:styleId="Style42">
    <w:name w:val="Название объекта"/>
    <w:basedOn w:val="Style43"/>
    <w:next w:val="Style43"/>
    <w:qFormat/>
    <w:pPr>
      <w:suppressAutoHyphens w:val="true"/>
      <w:jc w:val="center"/>
    </w:pPr>
    <w:rPr>
      <w:sz w:val="24"/>
    </w:rPr>
  </w:style>
  <w:style w:type="paragraph" w:styleId="Style43">
    <w:name w:val="Обычный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26F1F90626FEE9277159734589023DA6847C1D8FA2E271BFDCE710523F046497ADE874693C2AF6E9ECAB5947CDp7K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23266</TotalTime>
  <Application>LibreOffice/6.3.4.2$Windows_X86_64 LibreOffice_project/60da17e045e08f1793c57c00ba83cdfce946d0aa</Application>
  <Pages>6</Pages>
  <Words>1693</Words>
  <Characters>12343</Characters>
  <CharactersWithSpaces>14021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2021-09-06T13:15:34Z</cp:lastPrinted>
  <dcterms:modified xsi:type="dcterms:W3CDTF">2021-09-02T15:39:11Z</dcterms:modified>
  <cp:revision>48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