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BF" w:rsidRDefault="00D546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6BF" w:rsidRDefault="00D546BF">
      <w:pPr>
        <w:pStyle w:val="ConsPlusNormal"/>
        <w:jc w:val="both"/>
        <w:outlineLvl w:val="0"/>
      </w:pPr>
    </w:p>
    <w:p w:rsidR="00D546BF" w:rsidRDefault="00D546BF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D546BF" w:rsidRDefault="00D54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546BF" w:rsidRDefault="00D546BF">
      <w:pPr>
        <w:pStyle w:val="ConsPlusTitle"/>
        <w:jc w:val="center"/>
      </w:pPr>
    </w:p>
    <w:p w:rsidR="00D546BF" w:rsidRDefault="00D546BF">
      <w:pPr>
        <w:pStyle w:val="ConsPlusTitle"/>
        <w:jc w:val="center"/>
      </w:pPr>
      <w:r>
        <w:t>ПРИКАЗ</w:t>
      </w:r>
    </w:p>
    <w:p w:rsidR="00D546BF" w:rsidRDefault="00D546BF">
      <w:pPr>
        <w:pStyle w:val="ConsPlusTitle"/>
        <w:jc w:val="center"/>
      </w:pPr>
      <w:r>
        <w:t>от 24 марта 2021 г. N 158</w:t>
      </w:r>
    </w:p>
    <w:p w:rsidR="00D546BF" w:rsidRDefault="00D546BF">
      <w:pPr>
        <w:pStyle w:val="ConsPlusTitle"/>
        <w:jc w:val="center"/>
      </w:pPr>
    </w:p>
    <w:p w:rsidR="00D546BF" w:rsidRDefault="00D546BF">
      <w:pPr>
        <w:pStyle w:val="ConsPlusTitle"/>
        <w:jc w:val="center"/>
      </w:pPr>
      <w:r>
        <w:t>ОБ УТВЕРЖДЕНИИ ВЕТЕРИНАРНЫХ ПРАВИЛ</w:t>
      </w:r>
    </w:p>
    <w:p w:rsidR="00D546BF" w:rsidRDefault="00D546BF">
      <w:pPr>
        <w:pStyle w:val="ConsPlusTitle"/>
        <w:jc w:val="center"/>
      </w:pPr>
      <w:r>
        <w:t>ОСУЩЕСТВЛЕНИЯ ПРОФИЛАКТИЧЕСКИХ, ДИАГНОСТИЧЕСКИХ,</w:t>
      </w:r>
    </w:p>
    <w:p w:rsidR="00D546BF" w:rsidRDefault="00D546BF">
      <w:pPr>
        <w:pStyle w:val="ConsPlusTitle"/>
        <w:jc w:val="center"/>
      </w:pPr>
      <w:r>
        <w:t>ОГРАНИЧИТЕЛЬНЫХ И ИНЫХ МЕРОПРИЯТИЙ, УСТАНОВЛЕНИЯ</w:t>
      </w:r>
    </w:p>
    <w:p w:rsidR="00D546BF" w:rsidRDefault="00D546BF">
      <w:pPr>
        <w:pStyle w:val="ConsPlusTitle"/>
        <w:jc w:val="center"/>
      </w:pPr>
      <w:r>
        <w:t>И ОТМЕНЫ КАРАНТИНА И ИНЫХ ОГРАНИЧЕНИЙ, НАПРАВЛЕННЫХ</w:t>
      </w:r>
    </w:p>
    <w:p w:rsidR="00D546BF" w:rsidRDefault="00D546BF">
      <w:pPr>
        <w:pStyle w:val="ConsPlusTitle"/>
        <w:jc w:val="center"/>
      </w:pPr>
      <w:r>
        <w:t>НА ПРЕДОТВРАЩЕНИЕ РАСПРОСТРАНЕНИЯ И ЛИКВИДАЦИЮ</w:t>
      </w:r>
    </w:p>
    <w:p w:rsidR="00D546BF" w:rsidRDefault="00D546BF">
      <w:pPr>
        <w:pStyle w:val="ConsPlusTitle"/>
        <w:jc w:val="center"/>
      </w:pPr>
      <w:r>
        <w:t>ОЧАГОВ ВЫСОКОПАТОГЕННОГО ГРИППА ПТИЦ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6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bookmarkStart w:id="0" w:name="_GoBack"/>
      <w:r w:rsidRPr="00841B18">
        <w:rPr>
          <w:color w:val="0000FF"/>
        </w:rPr>
        <w:fldChar w:fldCharType="begin"/>
      </w:r>
      <w:r w:rsidRPr="00841B18">
        <w:rPr>
          <w:color w:val="0000FF"/>
        </w:rPr>
        <w:instrText xml:space="preserve"> HYPERLINK \l "P34" </w:instrText>
      </w:r>
      <w:r w:rsidRPr="00841B18">
        <w:rPr>
          <w:color w:val="0000FF"/>
        </w:rPr>
        <w:fldChar w:fldCharType="separate"/>
      </w:r>
      <w:r>
        <w:rPr>
          <w:color w:val="0000FF"/>
        </w:rPr>
        <w:t>правила</w:t>
      </w:r>
      <w:r w:rsidRPr="00841B18">
        <w:rPr>
          <w:color w:val="0000FF"/>
        </w:rPr>
        <w:fldChar w:fldCharType="end"/>
      </w:r>
      <w:r>
        <w:t xml:space="preserve"> осуществления профилактических</w:t>
      </w:r>
      <w:bookmarkEnd w:id="0"/>
      <w:r>
        <w:t>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 27 марта 2006 г. </w:t>
      </w:r>
      <w:hyperlink r:id="rId7" w:history="1">
        <w:r>
          <w:rPr>
            <w:color w:val="0000FF"/>
          </w:rPr>
          <w:t>N 90</w:t>
        </w:r>
      </w:hyperlink>
      <w: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 6 июля 2006 г. </w:t>
      </w:r>
      <w:hyperlink r:id="rId8" w:history="1">
        <w:r>
          <w:rPr>
            <w:color w:val="0000FF"/>
          </w:rPr>
          <w:t>N 195</w:t>
        </w:r>
      </w:hyperlink>
      <w: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right"/>
      </w:pPr>
      <w:r>
        <w:t>Министр</w:t>
      </w:r>
    </w:p>
    <w:p w:rsidR="00D546BF" w:rsidRDefault="00D546BF">
      <w:pPr>
        <w:pStyle w:val="ConsPlusNormal"/>
        <w:jc w:val="right"/>
      </w:pPr>
      <w:r>
        <w:t>Д.Н.ПАТРУШЕВ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right"/>
        <w:outlineLvl w:val="0"/>
      </w:pPr>
      <w:r>
        <w:t>Утверждены</w:t>
      </w:r>
    </w:p>
    <w:p w:rsidR="00D546BF" w:rsidRDefault="00D546BF">
      <w:pPr>
        <w:pStyle w:val="ConsPlusNormal"/>
        <w:jc w:val="right"/>
      </w:pPr>
      <w:r>
        <w:t>приказом Минсельхоза России</w:t>
      </w:r>
    </w:p>
    <w:p w:rsidR="00D546BF" w:rsidRDefault="00D546BF">
      <w:pPr>
        <w:pStyle w:val="ConsPlusNormal"/>
        <w:jc w:val="right"/>
      </w:pPr>
      <w:r>
        <w:t>от 24 марта 2021 г. N 158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</w:pPr>
      <w:bookmarkStart w:id="1" w:name="P34"/>
      <w:bookmarkEnd w:id="1"/>
      <w:r>
        <w:t>ВЕТЕРИНАРНЫЕ ПРАВИЛА</w:t>
      </w:r>
    </w:p>
    <w:p w:rsidR="00D546BF" w:rsidRDefault="00D546BF">
      <w:pPr>
        <w:pStyle w:val="ConsPlusTitle"/>
        <w:jc w:val="center"/>
      </w:pPr>
      <w:r>
        <w:t>ОСУЩЕСТВЛЕНИЯ ПРОФИЛАКТИЧЕСКИХ, ДИАГНОСТИЧЕСКИХ,</w:t>
      </w:r>
    </w:p>
    <w:p w:rsidR="00D546BF" w:rsidRDefault="00D546BF">
      <w:pPr>
        <w:pStyle w:val="ConsPlusTitle"/>
        <w:jc w:val="center"/>
      </w:pPr>
      <w:r>
        <w:lastRenderedPageBreak/>
        <w:t>ОГРАНИЧИТЕЛЬНЫХ И ИНЫХ МЕРОПРИЯТИЙ, УСТАНОВЛЕНИЯ</w:t>
      </w:r>
    </w:p>
    <w:p w:rsidR="00D546BF" w:rsidRDefault="00D546BF">
      <w:pPr>
        <w:pStyle w:val="ConsPlusTitle"/>
        <w:jc w:val="center"/>
      </w:pPr>
      <w:r>
        <w:t>И ОТМЕНЫ КАРАНТИНА И ИНЫХ ОГРАНИЧЕНИЙ, НАПРАВЛЕННЫХ</w:t>
      </w:r>
    </w:p>
    <w:p w:rsidR="00D546BF" w:rsidRDefault="00D546BF">
      <w:pPr>
        <w:pStyle w:val="ConsPlusTitle"/>
        <w:jc w:val="center"/>
      </w:pPr>
      <w:r>
        <w:t>НА ПРЕДОТВРАЩЕНИЕ РАСПРОСТРАНЕНИЯ И ЛИКВИДАЦИЮ</w:t>
      </w:r>
    </w:p>
    <w:p w:rsidR="00D546BF" w:rsidRDefault="00D546BF">
      <w:pPr>
        <w:pStyle w:val="ConsPlusTitle"/>
        <w:jc w:val="center"/>
      </w:pPr>
      <w:r>
        <w:t>ОЧАГОВ ВЫСОКОПАТОГЕННОГО ГРИППА ПТИЦ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I. Область применения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высокопатогенного гриппа птиц &lt;1&gt; (далее - ВГП).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II. Общая характеристика ВГП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bookmarkStart w:id="2" w:name="P51"/>
      <w:bookmarkEnd w:id="2"/>
      <w:r>
        <w:t>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>4. Возбудителем болезни является РНК-содержащий вирус, относящийся к семейству ортомиксовирусов, роду вируса гриппа A, а также его серотипы H5 и H7 независимо от их патогенности (далее - возбудитель).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III. Профилактические мероприятия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птиц для осмотра;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3" w:name="P74"/>
      <w:bookmarkEnd w:id="3"/>
      <w:r>
        <w:lastRenderedPageBreak/>
        <w:t xml:space="preserve">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Отбор проб в хозяйствах (за исключением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4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"благополучный регион" по ВГП осуществляется 3 раза в год: с марта по май, после вылупления птенцов, с августа по ноябрь;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9. Для профилактики ВГП в хозяйствах (за исключением птицефабрик)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11. При наличии оснований для подозрения на ВГП владельцы птиц обязаны: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224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прекратить получение спермы от племенных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обеспечить безвыгульное содержание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госветслужбы;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организовать санитарно-душевую обработку людей со сменой одежды и обуви при входе на </w:t>
      </w:r>
      <w:r>
        <w:lastRenderedPageBreak/>
        <w:t>территорию хозяйства и выходе с территории хозяйства;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184" w:history="1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обеспечить проведение дезинфекции помещений хозяйства и транспортных средств при выезде с территории хозяйства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при обнаружении в закрепленных охотничьих угодьях, органы государственной власти субъектов Российской Федерации, уполномоченные в </w:t>
      </w:r>
      <w:r>
        <w:lastRenderedPageBreak/>
        <w:t xml:space="preserve">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 обнаружении трупов птиц или птиц с клиническими признаками, характерными для ВГП, перечисленными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Правил, должны: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госветслужбы в место нахождения птиц (трупов птиц), подозреваемых в заболевании ВГП (далее - предполагаемый эпизоотический очаг), для: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клинического осмотра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указанного муниципального образования.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bookmarkStart w:id="7" w:name="P129"/>
      <w:bookmarkEnd w:id="7"/>
      <w:r>
        <w:t>V. Диагностические мероприятия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сыворотка крови отбирается от 25 голов птицы из одного птичника, в объеме не менее 0,5 мл от одной птицы;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сборные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Из одного птичника или места скопления (обитания) диких птиц, в том числе синантропных, отбирается не менее 5 сборных проб помета;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1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 w:history="1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 сопроводительном письме к пробам биологического и (или) патологического материала </w:t>
      </w:r>
      <w:r>
        <w:lastRenderedPageBreak/>
        <w:t xml:space="preserve">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 специалиста госветслужбы, осуществившего отбор проб.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20. 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выделен и идентифицирован возбудитель;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выявлена РНК, специфичная для возбудителя.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При установлении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25. 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26. 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D546BF" w:rsidRDefault="00D546BF">
      <w:pPr>
        <w:pStyle w:val="ConsPlusTitle"/>
        <w:jc w:val="center"/>
      </w:pPr>
      <w:r>
        <w:t>мероприятия, направленные на ликвидацию очагов ВГП,</w:t>
      </w:r>
    </w:p>
    <w:p w:rsidR="00D546BF" w:rsidRDefault="00D546BF">
      <w:pPr>
        <w:pStyle w:val="ConsPlusTitle"/>
        <w:jc w:val="center"/>
      </w:pPr>
      <w:r>
        <w:t>а также на предотвращение его распространения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 xml:space="preserve">28. Руководитель органа исполнительной власти субъекта Российской Федерации, </w:t>
      </w:r>
      <w:r>
        <w:lastRenderedPageBreak/>
        <w:t>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 у птиц, содержащихся на объектах, подведомственных указанным органам;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33. В эпизоотическом очаге: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а) запрещается: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лечение больных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ввоз и вывоз птиц, инкубационного яйца;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перемещение и перегруппировка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убой птиц с целью получения от них продуктов убоя;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вывоз продуктов убоя птиц и иной продукции птицеводства;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снятие пера и пуха с павших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закладка яиц на инкубацию;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</w:t>
      </w:r>
      <w:r>
        <w:lastRenderedPageBreak/>
        <w:t>деятельности лиц, проживающих и (или) временно пребывающих на территории хозяйства);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б) осуществляется: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эпизоотического очага;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средств при выезде с территории эпизоотического очага;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233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убой изъятых птиц бескровным методом;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&lt;10&gt;;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</w:t>
      </w:r>
      <w:proofErr w:type="gramStart"/>
      <w:r>
        <w:t>охотничьих ресурсов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проведение дератизации.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3" w:name="P224"/>
      <w:bookmarkEnd w:id="13"/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3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Обеззараживание помещений и других мест, где содержались (находились) 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Для дезинфекции должны применяться щелочные (при температуре не менее 80 °C) с содержанием действующего вещества не менее 3%), альдегидсодержащие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пометной жижи.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</w:t>
      </w:r>
      <w:proofErr w:type="gramStart"/>
      <w:r>
        <w:t>в толще продукта</w:t>
      </w:r>
      <w:proofErr w:type="gramEnd"/>
      <w:r>
        <w:t xml:space="preserve"> 70 °C в течение не менее 5 минут.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36.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 w:history="1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 полиции в соответствии с положениями </w:t>
      </w:r>
      <w:hyperlink r:id="rId24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При введении ограничения, указанного в настоящем пункте, орган исполнительной власти </w:t>
      </w:r>
      <w:r>
        <w:lastRenderedPageBreak/>
        <w:t>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5" w:name="P233"/>
      <w:bookmarkEnd w:id="15"/>
      <w:r>
        <w:t>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38. В угрожаемой зоне: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а) запрещается: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ввоз и вывоз птиц и инкубационного яйца;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заготовка и вывоз кормов для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 w:history="1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39. В зоне наблюдения осуществляется: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VII. Отмена карантина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lastRenderedPageBreak/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41.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A88" w:rsidRDefault="00D546BF"/>
    <w:sectPr w:rsidR="00110A88" w:rsidSect="000A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BF"/>
    <w:rsid w:val="004C1FE5"/>
    <w:rsid w:val="00995720"/>
    <w:rsid w:val="00D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6FAC-557F-4912-A601-D4A86F1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4051138200DED92A24804414D9B048381D6AC95CAB529345DB7E951A0715BE27BE6E864CF6BA0155F95C4l2x8G" TargetMode="External"/><Relationship Id="rId13" Type="http://schemas.openxmlformats.org/officeDocument/2006/relationships/hyperlink" Target="consultantplus://offline/ref=A654051138200DED92A24804414D9B04848ADCA497C8E8233C04BBEB56AF2E5EE56AE6E967D16BA80856C1976DA7512314656B1CC858A94BlDx7G" TargetMode="External"/><Relationship Id="rId18" Type="http://schemas.openxmlformats.org/officeDocument/2006/relationships/hyperlink" Target="consultantplus://offline/ref=A654051138200DED92A24804414D9B048684D4AD97C3E8233C04BBEB56AF2E5EE56AE6E967D16BAF0356C1976DA7512314656B1CC858A94BlDx7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54051138200DED92A24804414D9B04868BD2A692C7E8233C04BBEB56AF2E5EE56AE6E967D16BA80D56C1976DA7512314656B1CC858A94BlDx7G" TargetMode="External"/><Relationship Id="rId7" Type="http://schemas.openxmlformats.org/officeDocument/2006/relationships/hyperlink" Target="consultantplus://offline/ref=A654051138200DED92A24804414D9B048381D1A791CAB529345DB7E951A0715BE27BE6E864CF6BA0155F95C4l2x8G" TargetMode="External"/><Relationship Id="rId12" Type="http://schemas.openxmlformats.org/officeDocument/2006/relationships/hyperlink" Target="consultantplus://offline/ref=A654051138200DED92A24804414D9B04848AD1A194C1E8233C04BBEB56AF2E5EE56AE6E967D16BAC0856C1976DA7512314656B1CC858A94BlDx7G" TargetMode="External"/><Relationship Id="rId17" Type="http://schemas.openxmlformats.org/officeDocument/2006/relationships/hyperlink" Target="consultantplus://offline/ref=A654051138200DED92A24804414D9B04868BDCA793C8E8233C04BBEB56AF2E5EE56AE6E966D060FD5A19C0CB29F142231E656915D4l5xBG" TargetMode="External"/><Relationship Id="rId25" Type="http://schemas.openxmlformats.org/officeDocument/2006/relationships/hyperlink" Target="consultantplus://offline/ref=A654051138200DED92A24804414D9B048684D1A590C1E8233C04BBEB56AF2E5EE56AE6E960DA3FF84F0898C62AEC5C2A09796B17lDx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54051138200DED92A24804414D9B048684D4AD97C3E8233C04BBEB56AF2E5EE56AE6E967D16BA90256C1976DA7512314656B1CC858A94BlDx7G" TargetMode="External"/><Relationship Id="rId20" Type="http://schemas.openxmlformats.org/officeDocument/2006/relationships/hyperlink" Target="consultantplus://offline/ref=A654051138200DED92A24804414D9B048684D1A590C1E8233C04BBEB56AF2E5EE56AE6EF6C853AED5E5095C537F2553D157B69l1x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4051138200DED92A24804414D9B04868BD1A092C5E8233C04BBEB56AF2E5EE56AE6E967D16BAD0256C1976DA7512314656B1CC858A94BlDx7G" TargetMode="External"/><Relationship Id="rId11" Type="http://schemas.openxmlformats.org/officeDocument/2006/relationships/hyperlink" Target="consultantplus://offline/ref=A654051138200DED92A24804414D9B048684D0A293C6E8233C04BBEB56AF2E5EE56AE6E967D16BA90256C1976DA7512314656B1CC858A94BlDx7G" TargetMode="External"/><Relationship Id="rId24" Type="http://schemas.openxmlformats.org/officeDocument/2006/relationships/hyperlink" Target="consultantplus://offline/ref=A654051138200DED92A24804414D9B048684D2AC97C6E8233C04BBEB56AF2E5EE56AE6E967D169AB0D56C1976DA7512314656B1CC858A94BlDx7G" TargetMode="External"/><Relationship Id="rId5" Type="http://schemas.openxmlformats.org/officeDocument/2006/relationships/hyperlink" Target="consultantplus://offline/ref=A654051138200DED92A24804414D9B04868BDCA793C8E8233C04BBEB56AF2E5EE56AE6E967D16AA00F56C1976DA7512314656B1CC858A94BlDx7G" TargetMode="External"/><Relationship Id="rId15" Type="http://schemas.openxmlformats.org/officeDocument/2006/relationships/hyperlink" Target="consultantplus://offline/ref=A654051138200DED92A24804414D9B048684D4AD97C3E8233C04BBEB56AF2E5EF76ABEE567D275A9024397C62BlFx3G" TargetMode="External"/><Relationship Id="rId23" Type="http://schemas.openxmlformats.org/officeDocument/2006/relationships/hyperlink" Target="consultantplus://offline/ref=A654051138200DED92A24804414D9B04868BDCA793C8E8233C04BBEB56AF2E5EE56AE6E967D16AA10C56C1976DA7512314656B1CC858A94BlDx7G" TargetMode="External"/><Relationship Id="rId10" Type="http://schemas.openxmlformats.org/officeDocument/2006/relationships/hyperlink" Target="consultantplus://offline/ref=A654051138200DED92A24804414D9B04868BDCA793C8E8233C04BBEB56AF2E5EE56AE6E967D16BAA0C56C1976DA7512314656B1CC858A94BlDx7G" TargetMode="External"/><Relationship Id="rId19" Type="http://schemas.openxmlformats.org/officeDocument/2006/relationships/hyperlink" Target="consultantplus://offline/ref=A654051138200DED92A24804414D9B048684D4AD97C3E8233C04BBEB56AF2E5EE56AE6E967D16AA80956C1976DA7512314656B1CC858A94BlDx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54051138200DED92A24804414D9B048685D0AD93C5E8233C04BBEB56AF2E5EF76ABEE567D275A9024397C62BlFx3G" TargetMode="External"/><Relationship Id="rId14" Type="http://schemas.openxmlformats.org/officeDocument/2006/relationships/hyperlink" Target="consultantplus://offline/ref=A654051138200DED92A24804414D9B04868AD7AC93C0E8233C04BBEB56AF2E5EE56AE6E967D16BAB0F56C1976DA7512314656B1CC858A94BlDx7G" TargetMode="External"/><Relationship Id="rId22" Type="http://schemas.openxmlformats.org/officeDocument/2006/relationships/hyperlink" Target="consultantplus://offline/ref=A654051138200DED92A24804414D9B048684D4AD97C3E8233C04BBEB56AF2E5EE56AE6E967D16FAE0D56C1976DA7512314656B1CC858A94BlDx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1</cp:revision>
  <dcterms:created xsi:type="dcterms:W3CDTF">2021-09-03T06:49:00Z</dcterms:created>
  <dcterms:modified xsi:type="dcterms:W3CDTF">2021-09-03T06:50:00Z</dcterms:modified>
</cp:coreProperties>
</file>