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jc w:val="center"/>
        <w:rPr/>
      </w:pPr>
      <w:r>
        <w:rPr>
          <w:rStyle w:val="Style21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32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tabs>
          <w:tab w:val="clear" w:pos="709"/>
          <w:tab w:val="left" w:pos="1134" w:leader="none"/>
        </w:tabs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2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auto" w:val="clear"/>
        </w:rPr>
        <w:t xml:space="preserve">от </w:t>
      </w:r>
      <w:r>
        <w:rPr>
          <w:rStyle w:val="Style2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4"/>
          <w:shd w:fill="auto" w:val="clear"/>
        </w:rPr>
        <w:t>07.11.</w:t>
      </w:r>
      <w:r>
        <w:rPr>
          <w:rStyle w:val="Style2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auto" w:val="clear"/>
        </w:rPr>
        <w:t>2022 N 103</w:t>
      </w:r>
      <w:r>
        <w:rPr>
          <w:rStyle w:val="Style2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auto" w:val="clear"/>
        </w:rPr>
        <w:t>8</w:t>
      </w:r>
    </w:p>
    <w:p>
      <w:pPr>
        <w:pStyle w:val="ConsPlusTitle"/>
        <w:ind w:left="0" w:right="0" w:hanging="0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ind w:left="0" w:right="0" w:hanging="0"/>
        <w:jc w:val="center"/>
        <w:rPr>
          <w:rFonts w:ascii="Liberation Serif" w:hAnsi="Liberation Serif"/>
        </w:rPr>
      </w:pPr>
      <w:bookmarkStart w:id="0" w:name="__DdeLink__25394_2435785626"/>
      <w:bookmarkStart w:id="1" w:name="__DdeLink__25404_2435785626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О внесении изменений в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 (с учетом внесенных изменений от 12.02.2020 года №95, от 02.02.2021 №78, </w:t>
      </w:r>
      <w:bookmarkStart w:id="2" w:name="__DdeLink__54143_2169735345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от 14.03.2022 №204</w:t>
      </w:r>
      <w:bookmarkEnd w:id="2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) </w:t>
      </w:r>
      <w:bookmarkEnd w:id="0"/>
      <w:bookmarkEnd w:id="1"/>
    </w:p>
    <w:p>
      <w:pPr>
        <w:pStyle w:val="ConsPlusTitle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статьями 74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, </w:t>
      </w:r>
      <w:hyperlink r:id="rId4">
        <w:r>
          <w:rPr>
            <w:rFonts w:cs="Liberation Serif" w:ascii="Liberation Serif" w:hAnsi="Liberation Serif"/>
            <w:sz w:val="28"/>
            <w:szCs w:val="28"/>
          </w:rPr>
          <w:t>86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Бюджетного кодекса Российской Федерации,  Федеральным законом от 06.10.2003  № 131-ФЗ «Об общих принципах организации  местного самоуправления в Российской Федерации»,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Уставом Камышловского городского округа,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посредством реализации на территории Камышловского городского округа проектов инициативного бюджетирования, в соответствии с кадровыми изменениями,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pacing w:before="0" w:after="0"/>
        <w:ind w:left="0" w:right="0" w:firstLine="709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1. Внести изменения в состав конкурсной комиссии по отбору проектов инициативного бюджетирования в Камышловском городском округе,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утвержденный постановлением администрации Камышловского городского округа от 20.05.2019 года №426 (с учетом внесенных изменений от 12.02.2020 года №95, от </w:t>
      </w: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02.02.2021 № 78, от 14.03.2022 №204</w:t>
      </w:r>
      <w:r>
        <w:rPr>
          <w:rFonts w:cs="Liberation Serif" w:ascii="Liberation Serif" w:hAnsi="Liberation Serif"/>
          <w:sz w:val="28"/>
          <w:szCs w:val="28"/>
        </w:rPr>
        <w:t>), утвердив в новой редакции (прилагается)</w:t>
      </w:r>
      <w:r>
        <w:rPr>
          <w:rFonts w:cs="Liberation Serif" w:ascii="Liberation Serif" w:hAnsi="Liberation Serif"/>
          <w:kern w:val="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ConsPlusTitle"/>
        <w:spacing w:lineRule="auto" w:line="240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ab/>
        <w:t>3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widowControl w:val="false"/>
        <w:tabs>
          <w:tab w:val="clear" w:pos="709"/>
          <w:tab w:val="left" w:pos="910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107" w:leader="none"/>
        </w:tabs>
        <w:spacing w:lineRule="auto" w:line="240" w:before="0" w:after="0"/>
        <w:ind w:left="0" w:right="445" w:hanging="0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Title"/>
        <w:ind w:left="567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Title"/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</w:r>
    </w:p>
    <w:p>
      <w:pPr>
        <w:pStyle w:val="ConsPlusTitle"/>
        <w:ind w:left="5670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ConsPlusTitle"/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  <w:t>постановлением администрации</w:t>
      </w:r>
    </w:p>
    <w:p>
      <w:pPr>
        <w:pStyle w:val="ConsPlusTitle"/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  <w:t>Камышловского городского округа</w:t>
      </w:r>
    </w:p>
    <w:p>
      <w:pPr>
        <w:pStyle w:val="ConsPlusTitle"/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  <w:t xml:space="preserve">от </w:t>
      </w:r>
      <w:r>
        <w:rPr>
          <w:rFonts w:eastAsia="Liberation Serif" w:cs="Liberation Serif" w:ascii="Liberation Serif" w:hAnsi="Liberation Serif"/>
          <w:b w:val="false"/>
          <w:color w:val="auto"/>
          <w:kern w:val="2"/>
          <w:sz w:val="24"/>
          <w:szCs w:val="24"/>
          <w:lang w:val="ru-RU" w:eastAsia="hi-IN"/>
        </w:rPr>
        <w:t xml:space="preserve">07.11.2022 </w:t>
      </w:r>
      <w:r>
        <w:rPr>
          <w:rFonts w:cs="Liberation Serif" w:ascii="Liberation Serif" w:hAnsi="Liberation Serif"/>
          <w:b w:val="false"/>
          <w:sz w:val="24"/>
          <w:szCs w:val="24"/>
        </w:rPr>
        <w:t xml:space="preserve"> № </w:t>
      </w:r>
      <w:r>
        <w:rPr>
          <w:rFonts w:cs="Liberation Serif" w:ascii="Liberation Serif" w:hAnsi="Liberation Serif"/>
          <w:b w:val="false"/>
          <w:sz w:val="24"/>
          <w:szCs w:val="24"/>
        </w:rPr>
        <w:t>1038</w:t>
      </w:r>
    </w:p>
    <w:p>
      <w:pPr>
        <w:pStyle w:val="ConsPlusTitle"/>
        <w:ind w:left="0" w:right="0" w:hanging="0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</w:r>
    </w:p>
    <w:p>
      <w:pPr>
        <w:pStyle w:val="ConsPlusTitle"/>
        <w:ind w:left="0" w:right="0" w:hanging="0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СОСТАВ</w:t>
      </w:r>
    </w:p>
    <w:p>
      <w:pPr>
        <w:pStyle w:val="ConsPlusTitle"/>
        <w:ind w:left="0" w:right="0" w:hanging="0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Конкурсной комиссии по отбору проектов инициативного бюджетирования в Камышловском городском округе</w:t>
      </w:r>
    </w:p>
    <w:p>
      <w:pPr>
        <w:pStyle w:val="ConsPlusTitle"/>
        <w:ind w:left="567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742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099"/>
      </w:tblGrid>
      <w:tr>
        <w:trPr/>
        <w:tc>
          <w:tcPr>
            <w:tcW w:w="4643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099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глава Камышловского городского округа, председатель комиссии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099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Камышловского городского округа, заместитель председателя комиссии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Хапочкина Ольга Александровна</w:t>
            </w:r>
          </w:p>
        </w:tc>
        <w:tc>
          <w:tcPr>
            <w:tcW w:w="5099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ведущий специалист отдела экономики администрации Камышловского городского округа, секретарь комиссии</w:t>
            </w:r>
          </w:p>
        </w:tc>
      </w:tr>
    </w:tbl>
    <w:p>
      <w:pPr>
        <w:pStyle w:val="ConsPlusTitle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ConsPlusTitle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</w:p>
    <w:tbl>
      <w:tblPr>
        <w:tblW w:w="9771" w:type="dxa"/>
        <w:jc w:val="left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4954"/>
      </w:tblGrid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Мартьянов Константин Евгеньевич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первый заместитель главы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Думы Камышловского городского округа (по согласованию)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финансового управления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4954" w:type="dxa"/>
            <w:tcBorders/>
          </w:tcPr>
          <w:p>
            <w:pPr>
              <w:pStyle w:val="Normal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отдела экономики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495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28"/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отдела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tabs>
                <w:tab w:val="clear" w:pos="709"/>
              </w:tabs>
              <w:spacing w:lineRule="auto" w:line="228"/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4954" w:type="dxa"/>
            <w:tcBorders/>
          </w:tcPr>
          <w:p>
            <w:pPr>
              <w:pStyle w:val="Style23"/>
              <w:tabs>
                <w:tab w:val="clear" w:pos="709"/>
                <w:tab w:val="left" w:pos="2968" w:leader="none"/>
              </w:tabs>
              <w:spacing w:before="0" w:after="120"/>
              <w:ind w:left="0" w:right="-1"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-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Рой Екатерина Александровна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юридического отдела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  <w:shd w:fill="FFFFFF" w:val="clear"/>
              </w:rPr>
              <w:t>- директор общества с ограниченной ответственностью «Чистый город», председатель экспертного совета Камышловского городского округа «Бизнес», председатель совета предпринимателей Камышловского городского округа (по согласованию)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Озорнин Сергей Владимирович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главный редактор газеты «Камышловские известия», член экспертного совета Камышловского городского округа «СМИ» (по согласованию)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17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Акулов Александр Юрьевич</w:t>
            </w:r>
          </w:p>
        </w:tc>
        <w:tc>
          <w:tcPr>
            <w:tcW w:w="4954" w:type="dxa"/>
            <w:tcBorders/>
          </w:tcPr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Общественной палаты Камышловского городского округа (по согласованию)</w:t>
            </w:r>
          </w:p>
          <w:p>
            <w:pPr>
              <w:pStyle w:val="ConsPlusTitle"/>
              <w:tabs>
                <w:tab w:val="clear" w:pos="709"/>
              </w:tabs>
              <w:ind w:left="0" w:right="0" w:hanging="0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</w:tbl>
    <w:p>
      <w:pPr>
        <w:pStyle w:val="ConsPlusTitle"/>
        <w:ind w:left="567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701" w:right="567" w:header="1134" w:top="1276" w:footer="1134" w:bottom="131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widowControl/>
      <w:suppressAutoHyphens w:val="true"/>
      <w:bidi w:val="0"/>
      <w:ind w:left="0" w:right="0" w:firstLine="709"/>
      <w:jc w:val="center"/>
      <w:textAlignment w:val="auto"/>
      <w:rPr>
        <w:rFonts w:ascii="Times New Roman" w:hAnsi="Times New Roman" w:eastAsia="Times New Roman"/>
        <w:color w:val="auto"/>
        <w:kern w:val="2"/>
        <w:sz w:val="28"/>
        <w:szCs w:val="22"/>
        <w:lang w:val="ru-RU" w:eastAsia="ar-SA"/>
      </w:rPr>
    </w:pPr>
    <w:r>
      <w:rPr>
        <w:rFonts w:eastAsia="Times New Roman"/>
        <w:color w:val="auto"/>
        <w:kern w:val="2"/>
        <w:sz w:val="28"/>
        <w:szCs w:val="22"/>
        <w:lang w:val="ru-RU" w:eastAsia="ar-SA"/>
      </w:rPr>
    </w:r>
  </w:p>
  <w:p>
    <w:pPr>
      <w:pStyle w:val="Style30"/>
      <w:widowControl/>
      <w:suppressAutoHyphens w:val="true"/>
      <w:bidi w:val="0"/>
      <w:ind w:left="0" w:right="0" w:firstLine="709"/>
      <w:jc w:val="left"/>
      <w:textAlignment w:val="auto"/>
      <w:rPr>
        <w:rFonts w:ascii="Times New Roman" w:hAnsi="Times New Roman" w:eastAsia="Times New Roman"/>
        <w:color w:val="auto"/>
        <w:kern w:val="2"/>
        <w:sz w:val="28"/>
        <w:szCs w:val="22"/>
        <w:lang w:val="ru-RU" w:eastAsia="ar-SA"/>
      </w:rPr>
    </w:pPr>
    <w:r>
      <w:rPr>
        <w:rFonts w:eastAsia="Times New Roman"/>
        <w:color w:val="auto"/>
        <w:kern w:val="2"/>
        <w:sz w:val="28"/>
        <w:szCs w:val="22"/>
        <w:lang w:val="ru-RU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/>
      <w:suppressAutoHyphens w:val="true"/>
      <w:bidi w:val="0"/>
      <w:ind w:left="0" w:right="0" w:firstLine="709"/>
      <w:jc w:val="center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ru-RU" w:eastAsia="ar-SA"/>
      </w:rPr>
    </w:pPr>
    <w:r>
      <w:rPr>
        <w:rFonts w:eastAsia="Times New Roman"/>
        <w:color w:val="auto"/>
        <w:kern w:val="2"/>
        <w:sz w:val="24"/>
        <w:szCs w:val="24"/>
        <w:lang w:val="ru-RU" w:eastAsia="ar-SA"/>
      </w:rPr>
      <w:fldChar w:fldCharType="begin"/>
    </w:r>
    <w:r>
      <w:rPr>
        <w:sz w:val="24"/>
        <w:kern w:val="2"/>
        <w:szCs w:val="24"/>
        <w:rFonts w:eastAsia="Times New Roman"/>
        <w:color w:val="auto"/>
        <w:lang w:val="ru-RU" w:eastAsia="ar-SA"/>
      </w:rPr>
      <w:instrText> PAGE </w:instrText>
    </w:r>
    <w:r>
      <w:rPr>
        <w:sz w:val="24"/>
        <w:kern w:val="2"/>
        <w:szCs w:val="24"/>
        <w:rFonts w:eastAsia="Times New Roman"/>
        <w:color w:val="auto"/>
        <w:lang w:val="ru-RU" w:eastAsia="ar-SA"/>
      </w:rPr>
      <w:fldChar w:fldCharType="separate"/>
    </w:r>
    <w:r>
      <w:rPr>
        <w:sz w:val="24"/>
        <w:kern w:val="2"/>
        <w:szCs w:val="24"/>
        <w:rFonts w:eastAsia="Times New Roman"/>
        <w:color w:val="auto"/>
        <w:lang w:val="ru-RU" w:eastAsia="ar-SA"/>
      </w:rPr>
      <w:t>4</w:t>
    </w:r>
    <w:r>
      <w:rPr>
        <w:sz w:val="24"/>
        <w:kern w:val="2"/>
        <w:szCs w:val="24"/>
        <w:rFonts w:eastAsia="Times New Roman"/>
        <w:color w:val="auto"/>
        <w:lang w:val="ru-RU" w:eastAsia="ar-SA"/>
      </w:rPr>
      <w:fldChar w:fldCharType="end"/>
    </w:r>
  </w:p>
  <w:p>
    <w:pPr>
      <w:pStyle w:val="Normal"/>
      <w:widowControl/>
      <w:suppressAutoHyphens w:val="true"/>
      <w:bidi w:val="0"/>
      <w:ind w:left="0" w:right="0" w:firstLine="720"/>
      <w:jc w:val="left"/>
      <w:textAlignment w:val="auto"/>
      <w:rPr>
        <w:rFonts w:ascii="Times New Roman" w:hAnsi="Times New Roman" w:eastAsia="Times New Roman"/>
        <w:color w:val="auto"/>
        <w:kern w:val="2"/>
        <w:sz w:val="20"/>
        <w:szCs w:val="20"/>
        <w:lang w:val="ru-RU" w:eastAsia="ar-SA"/>
      </w:rPr>
    </w:pPr>
    <w:r>
      <w:rPr>
        <w:rFonts w:eastAsia="Times New Roman"/>
        <w:color w:val="auto"/>
        <w:kern w:val="2"/>
        <w:sz w:val="20"/>
        <w:szCs w:val="20"/>
        <w:lang w:val="ru-RU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/>
      <w:suppressAutoHyphens w:val="true"/>
      <w:bidi w:val="0"/>
      <w:ind w:left="0" w:right="0" w:firstLine="709"/>
      <w:jc w:val="center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ru-RU" w:eastAsia="ar-SA"/>
      </w:rPr>
    </w:pPr>
    <w:r>
      <w:rPr>
        <w:rFonts w:eastAsia="Times New Roman"/>
        <w:color w:val="auto"/>
        <w:kern w:val="2"/>
        <w:sz w:val="24"/>
        <w:szCs w:val="24"/>
        <w:lang w:val="ru-RU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0" w:right="0" w:firstLine="72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/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6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Нижний колонтитул Знак"/>
    <w:basedOn w:val="DefaultParagraphFont"/>
    <w:qFormat/>
    <w:rPr/>
  </w:style>
  <w:style w:type="character" w:styleId="FontStyle11">
    <w:name w:val="Font Style11"/>
    <w:qFormat/>
    <w:rPr>
      <w:rFonts w:ascii="Times New Roman" w:hAnsi="Times New Roman" w:eastAsia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 w:eastAsia="Times New Roman"/>
      <w:spacing w:val="10"/>
      <w:sz w:val="24"/>
    </w:rPr>
  </w:style>
  <w:style w:type="character" w:styleId="2">
    <w:name w:val="Основной текст 2 Знак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9">
    <w:name w:val="Основной текст Знак"/>
    <w:basedOn w:val="DefaultParagraphFont"/>
    <w:qFormat/>
    <w:rPr/>
  </w:style>
  <w:style w:type="character" w:styleId="Style20">
    <w:name w:val="Интернет-ссылка"/>
    <w:rPr>
      <w:color w:val="000080"/>
      <w:u w:val="single"/>
      <w:lang w:val="zxx" w:eastAsia="zxx"/>
    </w:rPr>
  </w:style>
  <w:style w:type="character" w:styleId="1">
    <w:name w:val="Основной текст Знак1"/>
    <w:basedOn w:val="DefaultParagraphFont"/>
    <w:qFormat/>
    <w:rPr>
      <w:sz w:val="26"/>
      <w:u w:val="none"/>
    </w:rPr>
  </w:style>
  <w:style w:type="character" w:styleId="5">
    <w:name w:val="Основной текст (5)_"/>
    <w:basedOn w:val="DefaultParagraphFont"/>
    <w:qFormat/>
    <w:rPr>
      <w:b/>
      <w:i/>
      <w:spacing w:val="-3"/>
      <w:sz w:val="26"/>
      <w:shd w:fill="FFFFFF" w:val="clear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  <w:ind w:left="0" w:right="0" w:firstLine="720"/>
    </w:pPr>
    <w:rPr>
      <w:rFonts w:ascii="PT Astra Serif" w:hAnsi="PT Astra Serif"/>
      <w:sz w:val="28"/>
      <w:szCs w:val="28"/>
      <w:lang w:eastAsia="ar-SA"/>
    </w:rPr>
  </w:style>
  <w:style w:type="paragraph" w:styleId="Style23">
    <w:name w:val="Body Text"/>
    <w:basedOn w:val="Normal"/>
    <w:pPr>
      <w:spacing w:before="0" w:after="120"/>
      <w:ind w:left="0" w:right="0" w:firstLine="720"/>
    </w:pPr>
    <w:rPr>
      <w:lang w:eastAsia="ar-SA"/>
    </w:rPr>
  </w:style>
  <w:style w:type="paragraph" w:styleId="Style24">
    <w:name w:val="List"/>
    <w:basedOn w:val="Style23"/>
    <w:pPr>
      <w:spacing w:before="0" w:after="120"/>
      <w:ind w:left="0" w:right="0" w:firstLine="720"/>
    </w:pPr>
    <w:rPr>
      <w:rFonts w:ascii="PT Astra Serif" w:hAnsi="PT Astra Serif"/>
      <w:lang w:eastAsia="ar-SA"/>
    </w:rPr>
  </w:style>
  <w:style w:type="paragraph" w:styleId="Style25">
    <w:name w:val="Caption"/>
    <w:basedOn w:val="Normal"/>
    <w:qFormat/>
    <w:pPr>
      <w:spacing w:before="120" w:after="120"/>
      <w:ind w:left="0" w:right="0" w:firstLine="720"/>
    </w:pPr>
    <w:rPr>
      <w:rFonts w:ascii="PT Astra Serif" w:hAnsi="PT Astra Serif"/>
      <w:i/>
      <w:iCs/>
      <w:sz w:val="24"/>
      <w:szCs w:val="24"/>
      <w:lang w:eastAsia="ar-SA"/>
    </w:rPr>
  </w:style>
  <w:style w:type="paragraph" w:styleId="Style26">
    <w:name w:val="Указатель"/>
    <w:basedOn w:val="Normal"/>
    <w:qFormat/>
    <w:pPr>
      <w:ind w:left="0" w:right="0" w:firstLine="720"/>
    </w:pPr>
    <w:rPr>
      <w:rFonts w:ascii="PT Astra Serif" w:hAnsi="PT Astra Serif"/>
      <w:lang w:eastAsia="ar-SA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Style27">
    <w:name w:val="Footnote Text"/>
    <w:basedOn w:val="Normal"/>
    <w:pPr>
      <w:ind w:left="0" w:right="0" w:firstLine="709"/>
    </w:pPr>
    <w:rPr>
      <w:lang w:eastAsia="ar-SA"/>
    </w:rPr>
  </w:style>
  <w:style w:type="paragraph" w:styleId="BalloonText">
    <w:name w:val="Balloon Text"/>
    <w:basedOn w:val="Normal"/>
    <w:qFormat/>
    <w:pPr>
      <w:ind w:left="0" w:right="0" w:firstLine="709"/>
    </w:pPr>
    <w:rPr>
      <w:rFonts w:ascii="Tahoma" w:hAnsi="Tahoma"/>
      <w:sz w:val="16"/>
      <w:szCs w:val="16"/>
      <w:lang w:eastAsia="ar-SA"/>
    </w:rPr>
  </w:style>
  <w:style w:type="paragraph" w:styleId="Style28">
    <w:name w:val="Верхний и нижний колонтитулы"/>
    <w:basedOn w:val="Normal"/>
    <w:qFormat/>
    <w:pPr>
      <w:ind w:left="0" w:right="0" w:firstLine="720"/>
    </w:pPr>
    <w:rPr>
      <w:lang w:eastAsia="ar-SA"/>
    </w:rPr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  <w:lang w:eastAsia="ar-SA"/>
    </w:rPr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0"/>
      <w:lang w:val="ru-RU" w:eastAsia="hi-IN" w:bidi="hi-IN"/>
    </w:rPr>
  </w:style>
  <w:style w:type="paragraph" w:styleId="ListParagraph">
    <w:name w:val="List Paragraph"/>
    <w:basedOn w:val="Normal"/>
    <w:qFormat/>
    <w:pPr>
      <w:spacing w:lineRule="auto" w:line="360" w:before="0" w:after="0"/>
      <w:ind w:left="720" w:right="0" w:firstLine="709"/>
      <w:contextualSpacing/>
    </w:pPr>
    <w:rPr>
      <w:sz w:val="28"/>
      <w:szCs w:val="22"/>
      <w:lang w:eastAsia="ar-SA"/>
    </w:rPr>
  </w:style>
  <w:style w:type="paragraph" w:styleId="NormalWeb">
    <w:name w:val="Normal (Web)"/>
    <w:basedOn w:val="Normal"/>
    <w:qFormat/>
    <w:pPr>
      <w:spacing w:before="100" w:after="100"/>
      <w:ind w:left="0" w:right="0" w:hanging="0"/>
    </w:pPr>
    <w:rPr>
      <w:sz w:val="24"/>
      <w:szCs w:val="24"/>
      <w:lang w:eastAsia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Liberation Serif" w:cs="Liberation Serif"/>
      <w:b/>
      <w:color w:val="auto"/>
      <w:kern w:val="2"/>
      <w:sz w:val="22"/>
      <w:szCs w:val="20"/>
      <w:lang w:val="ru-RU" w:eastAsia="hi-IN" w:bidi="hi-IN"/>
    </w:rPr>
  </w:style>
  <w:style w:type="paragraph" w:styleId="Style210">
    <w:name w:val="Style2"/>
    <w:basedOn w:val="Normal"/>
    <w:qFormat/>
    <w:pPr>
      <w:widowControl w:val="false"/>
      <w:spacing w:lineRule="exact" w:line="480"/>
      <w:ind w:left="0" w:right="0" w:firstLine="713"/>
      <w:jc w:val="both"/>
    </w:pPr>
    <w:rPr>
      <w:sz w:val="24"/>
      <w:szCs w:val="24"/>
      <w:lang w:eastAsia="ar-SA"/>
    </w:rPr>
  </w:style>
  <w:style w:type="paragraph" w:styleId="BodyText2">
    <w:name w:val="Body Text 2"/>
    <w:basedOn w:val="Normal"/>
    <w:qFormat/>
    <w:pPr>
      <w:widowControl w:val="false"/>
      <w:spacing w:lineRule="auto" w:line="480" w:before="0" w:after="120"/>
      <w:ind w:left="0" w:right="0" w:hanging="0"/>
    </w:pPr>
    <w:rPr>
      <w:lang w:eastAsia="ar-SA"/>
    </w:rPr>
  </w:style>
  <w:style w:type="paragraph" w:styleId="Formattext">
    <w:name w:val="formattext"/>
    <w:basedOn w:val="Normal"/>
    <w:qFormat/>
    <w:pPr>
      <w:spacing w:before="100" w:after="100"/>
      <w:ind w:left="0" w:right="0" w:hanging="0"/>
    </w:pPr>
    <w:rPr>
      <w:sz w:val="24"/>
      <w:szCs w:val="24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hi-IN"/>
    </w:rPr>
  </w:style>
  <w:style w:type="paragraph" w:styleId="TableGrid">
    <w:name w:val="Table Grid"/>
    <w:basedOn w:val="NormalTable"/>
    <w:qFormat/>
    <w:pPr>
      <w:spacing w:lineRule="auto" w:line="252" w:before="0" w:after="160"/>
      <w:ind w:left="0" w:right="0" w:hanging="0"/>
    </w:pPr>
    <w:rPr>
      <w:sz w:val="22"/>
      <w:szCs w:val="22"/>
      <w:lang w:eastAsia="ar-SA"/>
    </w:rPr>
  </w:style>
  <w:style w:type="paragraph" w:styleId="11">
    <w:name w:val="Сетка таблицы1"/>
    <w:basedOn w:val="NormalTable"/>
    <w:qFormat/>
    <w:pPr>
      <w:spacing w:lineRule="auto" w:line="252" w:before="0" w:after="160"/>
      <w:ind w:left="0" w:right="0" w:hanging="0"/>
    </w:pPr>
    <w:rPr>
      <w:rFonts w:ascii="Calibri" w:hAnsi="Calibri"/>
      <w:sz w:val="22"/>
      <w:szCs w:val="22"/>
      <w:lang w:eastAsia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B2C4D9E276C6369C4A52BC3BAEE31F6BBBF403B34217C3A5BB01BF3A641218478CFFFBCE4DCW4NDJ" TargetMode="External"/><Relationship Id="rId4" Type="http://schemas.openxmlformats.org/officeDocument/2006/relationships/hyperlink" Target="consultantplus://offline/ref=CB2C4D9E276C6369C4A52BC3BAEE31F6BBBF403B34217C3A5BB01BF3A641218478CFFFB8E7WDN7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LibreOffice/7.0.6.2$Linux_X86_64 LibreOffice_project/00$Build-2</Application>
  <AppVersion>15.0000</AppVersion>
  <Pages>4</Pages>
  <Words>507</Words>
  <Characters>3999</Characters>
  <CharactersWithSpaces>4510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Подъячева Людмила Владимировна</dc:creator>
  <dc:description/>
  <dc:language>ru-RU</dc:language>
  <cp:lastModifiedBy/>
  <cp:lastPrinted>2022-11-08T16:49:33Z</cp:lastPrinted>
  <dcterms:modified xsi:type="dcterms:W3CDTF">2022-11-08T16:51:29Z</dcterms:modified>
  <cp:revision>4</cp:revision>
  <dc:subject/>
  <dc:title>МОДЕЛЬНЫЙ ПОРЯДОК ПРЕДОСТАВЛЕНИЯ МУНИЦИПАЛЬНЫХ ГАРАНТИЙ ПО ИНВЕСТИЦИОННЫМ ПРОЕКТАМ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ОЛЯ</vt:lpwstr>
  </property>
</Properties>
</file>