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bidi w:val="0"/>
        <w:ind w:left="0" w:right="0" w:hanging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4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4"/>
        <w:widowControl w:val="false"/>
        <w:jc w:val="both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2"/>
          <w:rFonts w:eastAsia="Noto Sans Devanagari" w:cs="Liberation Serif;Times New Roman"/>
          <w:b/>
          <w:bCs/>
          <w:i w:val="false"/>
          <w:iCs w:val="false"/>
          <w:color w:val="auto"/>
          <w:spacing w:val="-1"/>
          <w:kern w:val="2"/>
          <w:sz w:val="28"/>
          <w:szCs w:val="28"/>
          <w:lang w:val="ru-RU" w:eastAsia="hi-IN" w:bidi="ar-SA"/>
        </w:rPr>
        <w:t>2</w:t>
      </w:r>
      <w:r>
        <w:rPr>
          <w:rStyle w:val="Style12"/>
          <w:rFonts w:eastAsia="Noto Sans Devanagari" w:cs="Liberation Serif;Times New Roman"/>
          <w:b/>
          <w:bCs/>
          <w:i w:val="false"/>
          <w:iCs w:val="false"/>
          <w:color w:val="auto"/>
          <w:spacing w:val="-1"/>
          <w:kern w:val="2"/>
          <w:sz w:val="28"/>
          <w:szCs w:val="28"/>
          <w:lang w:val="ru-RU" w:eastAsia="hi-IN" w:bidi="ar-SA"/>
        </w:rPr>
        <w:t>4</w:t>
      </w: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.01.2022 N </w:t>
      </w: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5</w:t>
      </w: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0</w:t>
      </w:r>
    </w:p>
    <w:p>
      <w:pPr>
        <w:pStyle w:val="Normal"/>
        <w:jc w:val="center"/>
        <w:rPr>
          <w:rStyle w:val="Style12"/>
          <w:rFonts w:ascii="Liberation Serif" w:hAnsi="Liberation Serif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 проведении конкурсного отбора проектов инициативного бюджетирования на территории Камышловского городского округа</w:t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в 202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2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 году</w:t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ab/>
        <w:t>В целях реализации на территории Камышловского городского округа проектов инициативного бюджетирования, руководствуясь Федеральным законом от 06.10.2003 № 131- ФЗ «Об общих принципах организации местного самоуправления в Российской Федерации»,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года», Постановлением администрации Камышловского городского округа от 20.05.2019 № 426 «Об утверждении Порядка проведения конкурсного отбора проектов инициативного бюджетирования и состава конкурсной комиссии в Камышловском городском округе»,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/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1. Провести конкурсный отбор проектов инициативного бюджетирования на территории Камышловского городского округа в 202</w:t>
      </w:r>
      <w:r>
        <w:rPr>
          <w:rStyle w:val="Style12"/>
          <w:rFonts w:ascii="Liberation Serif" w:hAnsi="Liberation Serif"/>
          <w:sz w:val="28"/>
          <w:szCs w:val="28"/>
        </w:rPr>
        <w:t>2</w:t>
      </w:r>
      <w:r>
        <w:rPr>
          <w:rStyle w:val="Style12"/>
          <w:rFonts w:ascii="Liberation Serif" w:hAnsi="Liberation Serif"/>
          <w:sz w:val="28"/>
          <w:szCs w:val="28"/>
        </w:rPr>
        <w:t xml:space="preserve"> году, согласно извещению (</w:t>
      </w:r>
      <w:r>
        <w:rPr>
          <w:rStyle w:val="Style12"/>
          <w:rFonts w:ascii="Liberation Serif" w:hAnsi="Liberation Serif"/>
          <w:sz w:val="28"/>
          <w:szCs w:val="28"/>
        </w:rPr>
        <w:t>прилагается</w:t>
      </w:r>
      <w:r>
        <w:rPr>
          <w:rStyle w:val="Style12"/>
          <w:rFonts w:ascii="Liberation Serif" w:hAnsi="Liberation Serif"/>
          <w:sz w:val="28"/>
          <w:szCs w:val="28"/>
        </w:rPr>
        <w:t>).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2. </w:t>
      </w:r>
      <w:r>
        <w:rPr>
          <w:rStyle w:val="Style12"/>
          <w:rFonts w:ascii="Liberation Serif" w:hAnsi="Liberation Serif"/>
          <w:sz w:val="28"/>
          <w:szCs w:val="28"/>
        </w:rPr>
        <w:t xml:space="preserve">Настоящее постановление опубликовать </w:t>
      </w:r>
      <w:r>
        <w:rPr>
          <w:rStyle w:val="Style12"/>
          <w:rFonts w:cs="Liberation Serif" w:ascii="Liberation Serif" w:hAnsi="Liberation Serif"/>
          <w:sz w:val="28"/>
          <w:szCs w:val="28"/>
        </w:rPr>
        <w:t>в газете «Камышловские известия» и разместить на официальном сайте Камышловского городского округа</w:t>
      </w:r>
      <w:r>
        <w:rPr>
          <w:rStyle w:val="Style12"/>
          <w:rFonts w:ascii="Liberation Serif" w:hAnsi="Liberation Serif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3.Контроль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1"/>
        <w:gridCol w:w="4072"/>
      </w:tblGrid>
      <w:tr>
        <w:trPr/>
        <w:tc>
          <w:tcPr>
            <w:tcW w:w="5781" w:type="dxa"/>
            <w:tcBorders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072" w:type="dxa"/>
            <w:tcBorders/>
          </w:tcPr>
          <w:p>
            <w:pPr>
              <w:pStyle w:val="Normal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</w:t>
            </w:r>
          </w:p>
          <w:p>
            <w:pPr>
              <w:pStyle w:val="Normal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постановлению администрации</w:t>
            </w:r>
          </w:p>
          <w:p>
            <w:pPr>
              <w:pStyle w:val="Normal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Камышловского городского округа</w:t>
            </w:r>
          </w:p>
          <w:p>
            <w:pPr>
              <w:pStyle w:val="Normal"/>
              <w:jc w:val="left"/>
              <w:rPr/>
            </w:pPr>
            <w:r>
              <w:rPr>
                <w:rStyle w:val="Style12"/>
                <w:rFonts w:ascii="Liberation Serif" w:hAnsi="Liberation Serif"/>
              </w:rPr>
              <w:t xml:space="preserve">от </w:t>
            </w:r>
            <w:r>
              <w:rPr>
                <w:rStyle w:val="Style12"/>
                <w:rFonts w:eastAsia="Times New Roman" w:cs="Times New Roman" w:ascii="Liberation Serif" w:hAnsi="Liberation Serif"/>
                <w:lang w:bidi="ar-SA"/>
              </w:rPr>
              <w:t>24.01.</w:t>
            </w:r>
            <w:r>
              <w:rPr>
                <w:rStyle w:val="Style12"/>
                <w:rFonts w:ascii="Liberation Serif" w:hAnsi="Liberation Serif"/>
              </w:rPr>
              <w:t>202</w:t>
            </w:r>
            <w:r>
              <w:rPr>
                <w:rStyle w:val="Style12"/>
                <w:rFonts w:ascii="Liberation Serif" w:hAnsi="Liberation Serif"/>
              </w:rPr>
              <w:t>2</w:t>
            </w:r>
            <w:r>
              <w:rPr>
                <w:rStyle w:val="Style12"/>
                <w:rFonts w:ascii="Liberation Serif" w:hAnsi="Liberation Serif"/>
              </w:rPr>
              <w:t xml:space="preserve"> № </w:t>
            </w:r>
            <w:r>
              <w:rPr>
                <w:rStyle w:val="Style12"/>
                <w:rFonts w:eastAsia="Times New Roman" w:cs="Times New Roman" w:ascii="Liberation Serif" w:hAnsi="Liberation Serif"/>
                <w:lang w:bidi="ar-SA"/>
              </w:rPr>
              <w:t>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Извещение о проведении конкурсного отбора проектов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инициативного бюджетирования</w:t>
      </w:r>
    </w:p>
    <w:p>
      <w:pPr>
        <w:pStyle w:val="Style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6058"/>
      </w:tblGrid>
      <w:tr>
        <w:trPr/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Организатор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Место предоставления заявок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624860, г.Камышлов, Свердловской области, ул.Свердлова, 41, кабинет № 2 (отдел экономики),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понедельник — пятница с 8-00 до 16-00 ч.,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перерыв на обед с 12 - 00 до 13 - 00 ч.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начала и окончания приема заявок для участия в конкурсном отборе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Дата начала приема заявок — 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2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января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Дата окончания приема заявок — </w:t>
            </w: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7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февраля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Перечень сфер реализации проектов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1. </w:t>
            </w:r>
            <w:r>
              <w:rPr>
                <w:rStyle w:val="Style12"/>
                <w:rFonts w:ascii="Liberation Serif" w:hAnsi="Liberation Serif"/>
                <w:b w:val="false"/>
                <w:i/>
                <w:iCs/>
                <w:sz w:val="26"/>
                <w:szCs w:val="26"/>
                <w:u w:val="single"/>
              </w:rPr>
              <w:t>Б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i/>
                <w:iCs/>
                <w:sz w:val="26"/>
                <w:szCs w:val="26"/>
                <w:u w:val="single"/>
              </w:rPr>
              <w:t>лагоустройство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sz w:val="26"/>
                <w:szCs w:val="26"/>
                <w:u w:val="single"/>
              </w:rPr>
              <w:t xml:space="preserve"> 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i/>
                <w:iCs/>
                <w:sz w:val="26"/>
                <w:szCs w:val="26"/>
                <w:u w:val="single"/>
              </w:rPr>
              <w:t>территории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i/>
                <w:iCs/>
                <w:sz w:val="26"/>
                <w:szCs w:val="26"/>
              </w:rPr>
              <w:t>:</w:t>
            </w:r>
            <w:r>
              <w:rPr>
                <w:rStyle w:val="Style12"/>
                <w:rFonts w:eastAsia="Times New Roman;Times New Roman" w:cs="Liberation Serif;Times New Roman" w:ascii="Liberation Serif;Times New Roman" w:hAnsi="Liberation Serif;Times New Roman"/>
                <w:b w:val="false"/>
                <w:sz w:val="26"/>
                <w:szCs w:val="26"/>
              </w:rPr>
              <w:t xml:space="preserve">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      </w:r>
          </w:p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>2</w:t>
            </w: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. </w:t>
            </w:r>
            <w:r>
              <w:rPr>
                <w:rStyle w:val="Style12"/>
                <w:rFonts w:ascii="Liberation Serif" w:hAnsi="Liberation Serif"/>
                <w:b w:val="false"/>
                <w:i/>
                <w:sz w:val="26"/>
                <w:szCs w:val="26"/>
                <w:u w:val="single"/>
              </w:rPr>
              <w:t>Дополнительное образование детей</w:t>
            </w: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 (оснащение оборудованием, приобретение программных средств для муниципальных организаций дополнительного образования детей).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Уровень софинансирования проектов 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Население от 5 % до 60% от стоимости проекта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 xml:space="preserve">Организации (юридические лица и предприниматели)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от 10 % до 65 %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Местный бюджет от 5 % до 85 %</w:t>
            </w:r>
          </w:p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 xml:space="preserve">Областной бюджет до 50%, </w:t>
            </w:r>
            <w:r>
              <w:rPr>
                <w:rStyle w:val="Style12"/>
                <w:rFonts w:eastAsia="NSimSun" w:cs="Mangal" w:ascii="Liberation Serif" w:hAnsi="Liberation Serif"/>
                <w:b w:val="false"/>
                <w:sz w:val="26"/>
                <w:szCs w:val="26"/>
                <w:lang w:bidi="hi-IN"/>
              </w:rPr>
              <w:t>но не более 2 млн. рублей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Перечень документов, входящих в заявку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rFonts w:ascii="Liberation Serif" w:hAnsi="Liberation Serif"/>
                <w:sz w:val="26"/>
                <w:szCs w:val="26"/>
              </w:rPr>
              <w:t xml:space="preserve">Перечень документов и требования к ним, определены Порядком проведения конкурсного отбора проектов инициативного бюджетирования и состава конкурсной комиссии в Камышловском городском округе, утвержденного Постановлением от 20.05.2019 г. №426 (размещенном на сайте </w:t>
            </w:r>
            <w:hyperlink r:id="rId3" w:tgtFrame="_top">
              <w:r>
                <w:rPr>
                  <w:rFonts w:ascii="Liberation Serif" w:hAnsi="Liberation Serif"/>
                  <w:sz w:val="26"/>
                  <w:szCs w:val="26"/>
                </w:rPr>
                <w:t>http://gorod-kamyshlov.ru/economy/initsiativnoe-</w:t>
              </w:r>
            </w:hyperlink>
            <w:hyperlink r:id="rId4" w:tgtFrame="_top">
              <w:r>
                <w:rPr>
                  <w:rFonts w:ascii="Liberation Serif" w:hAnsi="Liberation Serif"/>
                  <w:sz w:val="26"/>
                  <w:szCs w:val="26"/>
                </w:rPr>
                <w:t>byudzhetirovanie/</w:t>
              </w:r>
            </w:hyperlink>
            <w:r>
              <w:rPr>
                <w:rStyle w:val="Style12"/>
                <w:rFonts w:ascii="Liberation Serif" w:hAnsi="Liberation Serif"/>
                <w:sz w:val="26"/>
                <w:szCs w:val="26"/>
              </w:rPr>
              <w:t xml:space="preserve">) 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Условия предоставления заявки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Заявка на участие в конкурсном отборе предоставляется на бумажном носителе, непосредственно в администрацию Камышловского городского округа или направляется почтовым отправлением в адрес администрации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рассмотрения заявок для участия в конкурсном отборе, принятие решения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10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февраля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Утверждение результатов конкурсного отбора проектов инициативного бюджетирования на территории Камышловского городского округа в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году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sz w:val="26"/>
                <w:szCs w:val="26"/>
                <w:lang w:bidi="ar-SA"/>
              </w:rPr>
              <w:t>4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февраля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202</w:t>
            </w: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Контактные данные ответственного сотрудника</w:t>
            </w:r>
          </w:p>
        </w:tc>
        <w:tc>
          <w:tcPr>
            <w:tcW w:w="6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sz w:val="26"/>
                <w:szCs w:val="26"/>
              </w:rPr>
              <w:t>Хапочкина Ольга Александровна, ведущий специалист отдела экономики администрации Камышловского городского округа,</w:t>
            </w:r>
          </w:p>
          <w:p>
            <w:pPr>
              <w:pStyle w:val="Style23"/>
              <w:jc w:val="both"/>
              <w:rPr/>
            </w:pPr>
            <w:r>
              <w:rPr>
                <w:rStyle w:val="Style12"/>
                <w:rFonts w:ascii="Liberation Serif" w:hAnsi="Liberation Serif"/>
                <w:b w:val="false"/>
                <w:sz w:val="26"/>
                <w:szCs w:val="26"/>
              </w:rPr>
              <w:t>телефон 8-34375-2-45-55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sectPr>
      <w:headerReference w:type="default" r:id="rId5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8">
    <w:name w:val="Символ нумерации"/>
    <w:qFormat/>
    <w:rPr/>
  </w:style>
  <w:style w:type="character" w:styleId="Style19">
    <w:name w:val="Гиперссылка"/>
    <w:basedOn w:val="Style12"/>
    <w:qFormat/>
    <w:rPr>
      <w:color w:val="0563C1"/>
      <w:u w:val="single"/>
    </w:rPr>
  </w:style>
  <w:style w:type="character" w:styleId="Style20">
    <w:name w:val="Верхний колонтитул Знак"/>
    <w:basedOn w:val="Style12"/>
    <w:qFormat/>
    <w:rPr>
      <w:szCs w:val="21"/>
    </w:rPr>
  </w:style>
  <w:style w:type="character" w:styleId="Style21">
    <w:name w:val="Нижний колонтитул Знак"/>
    <w:basedOn w:val="Style12"/>
    <w:qFormat/>
    <w:rPr>
      <w:szCs w:val="21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22">
    <w:name w:val="Заголовок"/>
    <w:basedOn w:val="Normal"/>
    <w:next w:val="Style23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23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5">
    <w:name w:val="List"/>
    <w:basedOn w:val="Style23"/>
    <w:pPr>
      <w:suppressAutoHyphens w:val="true"/>
    </w:pPr>
    <w:rPr>
      <w:rFonts w:cs="Mangal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8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9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0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31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33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5">
    <w:name w:val="Заголовок таблицы"/>
    <w:basedOn w:val="Style34"/>
    <w:qFormat/>
    <w:pPr>
      <w:suppressAutoHyphens w:val="true"/>
      <w:jc w:val="center"/>
    </w:pPr>
    <w:rPr>
      <w:b/>
      <w:bCs/>
    </w:rPr>
  </w:style>
  <w:style w:type="paragraph" w:styleId="Style36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3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8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39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gorod-kamyshlov.ru/economy/initsiativnoe-byudzhetirovanie/" TargetMode="External"/><Relationship Id="rId4" Type="http://schemas.openxmlformats.org/officeDocument/2006/relationships/hyperlink" Target="http://gorod-kamyshlov.ru/economy/initsiativnoe-byudzhetirovanie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LibreOffice/6.4.7.2$Linux_X86_64 LibreOffice_project/40$Build-2</Application>
  <Pages>3</Pages>
  <Words>462</Words>
  <Characters>3369</Characters>
  <CharactersWithSpaces>3839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2020-02-11T05:04:00Z</dcterms:created>
  <dc:creator>Меньшенина Татьяна Борисовна</dc:creator>
  <dc:description/>
  <dc:language>ru-RU</dc:language>
  <cp:lastModifiedBy/>
  <cp:lastPrinted>2022-01-24T16:35:15Z</cp:lastPrinted>
  <dcterms:modified xsi:type="dcterms:W3CDTF">2022-01-24T16:38:54Z</dcterms:modified>
  <cp:revision>19</cp:revision>
  <dc:subject/>
  <dc:title> </dc:title>
</cp:coreProperties>
</file>