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485775" cy="752475"/>
            <wp:effectExtent l="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1" descr="Камышлов-герб"/>
                    <pic:cNvPicPr>
                      <a:picLocks noChangeAspect="1" noChangeArrowheads="1"/>
                    </pic:cNvPicPr>
                  </pic:nvPicPr>
                  <pic:blipFill>
                    <a:blip r:embed="rId2"/>
                    <a:stretch>
                      <a:fillRect/>
                    </a:stretch>
                  </pic:blipFill>
                  <pic:spPr bwMode="auto">
                    <a:xfrm>
                      <a:off x="0" y="0"/>
                      <a:ext cx="485775" cy="752475"/>
                    </a:xfrm>
                    <a:prstGeom prst="rect">
                      <a:avLst/>
                    </a:prstGeom>
                  </pic:spPr>
                </pic:pic>
              </a:graphicData>
            </a:graphic>
          </wp:inline>
        </w:drawing>
      </w:r>
    </w:p>
    <w:p>
      <w:pPr>
        <w:pStyle w:val="Normal"/>
        <w:jc w:val="center"/>
        <w:rPr/>
      </w:pPr>
      <w:r>
        <w:rPr>
          <w:b/>
          <w:bCs/>
          <w:sz w:val="28"/>
          <w:szCs w:val="28"/>
        </w:rPr>
        <w:t>АДМИНИСТРАЦИЯ КАМЫШЛОВСКОГО ГОРОДСКОГО ОКРУГА</w:t>
      </w:r>
    </w:p>
    <w:p>
      <w:pPr>
        <w:pStyle w:val="Normal"/>
        <w:jc w:val="center"/>
        <w:rPr/>
      </w:pPr>
      <w:r>
        <w:rPr>
          <w:b/>
          <w:bCs/>
          <w:sz w:val="28"/>
          <w:szCs w:val="28"/>
        </w:rPr>
        <w:t>П О С Т А Н О В Л Е Н И Е</w:t>
      </w:r>
    </w:p>
    <w:p>
      <w:pPr>
        <w:pStyle w:val="Normal"/>
        <w:pBdr>
          <w:top w:val="double" w:sz="12" w:space="1" w:color="000000"/>
        </w:pBdr>
        <w:rPr>
          <w:sz w:val="28"/>
          <w:szCs w:val="28"/>
        </w:rPr>
      </w:pPr>
      <w:r>
        <w:rPr>
          <w:sz w:val="28"/>
          <w:szCs w:val="28"/>
        </w:rPr>
      </w:r>
    </w:p>
    <w:p>
      <w:pPr>
        <w:pStyle w:val="Normal"/>
        <w:spacing w:lineRule="auto" w:line="240" w:before="0" w:after="0"/>
        <w:ind w:left="0" w:right="0" w:hanging="0"/>
        <w:jc w:val="center"/>
        <w:rPr/>
      </w:pPr>
      <w:r>
        <w:rPr/>
      </w:r>
    </w:p>
    <w:p>
      <w:pPr>
        <w:pStyle w:val="Normal"/>
        <w:spacing w:lineRule="auto" w:line="240" w:before="0" w:after="0"/>
        <w:ind w:left="0" w:right="0" w:hanging="0"/>
        <w:jc w:val="both"/>
        <w:rPr>
          <w:rFonts w:ascii="Liberation Serif" w:hAnsi="Liberation Serif"/>
          <w:sz w:val="26"/>
          <w:szCs w:val="26"/>
        </w:rPr>
      </w:pPr>
      <w:bookmarkStart w:id="0" w:name="__DdeLink__35369_2389077332"/>
      <w:bookmarkStart w:id="1" w:name="_GoBack"/>
      <w:bookmarkEnd w:id="1"/>
      <w:r>
        <w:rPr>
          <w:rFonts w:ascii="Liberation Serif" w:hAnsi="Liberation Serif"/>
          <w:b/>
          <w:sz w:val="28"/>
          <w:szCs w:val="28"/>
        </w:rPr>
        <w:t xml:space="preserve">от 08.11.2019  N </w:t>
      </w:r>
      <w:bookmarkEnd w:id="0"/>
      <w:r>
        <w:rPr>
          <w:rFonts w:ascii="Liberation Serif" w:hAnsi="Liberation Serif"/>
          <w:b/>
          <w:sz w:val="28"/>
          <w:szCs w:val="28"/>
        </w:rPr>
        <w:t>953</w:t>
      </w:r>
    </w:p>
    <w:p>
      <w:pPr>
        <w:pStyle w:val="Normal"/>
        <w:spacing w:lineRule="auto" w:line="240" w:before="0" w:after="0"/>
        <w:ind w:left="0" w:right="0" w:hanging="0"/>
        <w:jc w:val="center"/>
        <w:rPr>
          <w:rFonts w:ascii="Liberation Serif" w:hAnsi="Liberation Serif"/>
          <w:sz w:val="26"/>
          <w:szCs w:val="26"/>
        </w:rPr>
      </w:pPr>
      <w:r>
        <w:rPr>
          <w:rFonts w:ascii="Liberation Serif" w:hAnsi="Liberation Serif"/>
          <w:sz w:val="26"/>
          <w:szCs w:val="26"/>
        </w:rPr>
      </w:r>
    </w:p>
    <w:p>
      <w:pPr>
        <w:pStyle w:val="Normal"/>
        <w:spacing w:lineRule="auto" w:line="240" w:before="0" w:after="0"/>
        <w:ind w:left="0" w:right="0" w:hanging="0"/>
        <w:jc w:val="center"/>
        <w:rPr>
          <w:rFonts w:ascii="Liberation Serif" w:hAnsi="Liberation Serif"/>
          <w:sz w:val="26"/>
          <w:szCs w:val="26"/>
        </w:rPr>
      </w:pPr>
      <w:r>
        <w:rPr>
          <w:rFonts w:ascii="Liberation Serif" w:hAnsi="Liberation Serif"/>
          <w:sz w:val="26"/>
          <w:szCs w:val="26"/>
        </w:rPr>
      </w:r>
    </w:p>
    <w:p>
      <w:pPr>
        <w:pStyle w:val="Normal"/>
        <w:spacing w:lineRule="auto" w:line="240" w:before="0" w:after="0"/>
        <w:ind w:left="0" w:right="0" w:hanging="0"/>
        <w:jc w:val="center"/>
        <w:rPr>
          <w:rFonts w:ascii="Liberation Serif" w:hAnsi="Liberation Serif"/>
          <w:b/>
          <w:b/>
          <w:sz w:val="28"/>
          <w:szCs w:val="28"/>
        </w:rPr>
      </w:pPr>
      <w:r>
        <w:rPr>
          <w:rFonts w:ascii="Liberation Serif" w:hAnsi="Liberation Serif"/>
          <w:b/>
          <w:sz w:val="28"/>
          <w:szCs w:val="28"/>
        </w:rPr>
        <w:t xml:space="preserve">Об утверждении долговой политики Камышловского городского округа </w:t>
      </w:r>
    </w:p>
    <w:p>
      <w:pPr>
        <w:pStyle w:val="Normal"/>
        <w:spacing w:lineRule="auto" w:line="240" w:before="0" w:after="0"/>
        <w:ind w:left="0" w:right="0" w:hanging="0"/>
        <w:jc w:val="center"/>
        <w:rPr>
          <w:rFonts w:ascii="Liberation Serif" w:hAnsi="Liberation Serif"/>
          <w:b/>
          <w:b/>
          <w:sz w:val="28"/>
          <w:szCs w:val="28"/>
        </w:rPr>
      </w:pPr>
      <w:bookmarkStart w:id="2" w:name="__DdeLink__64155_3324789756"/>
      <w:bookmarkStart w:id="3" w:name="__DdeLink__64676_3324789756"/>
      <w:r>
        <w:rPr>
          <w:rFonts w:ascii="Liberation Serif" w:hAnsi="Liberation Serif"/>
          <w:b/>
          <w:sz w:val="28"/>
          <w:szCs w:val="28"/>
        </w:rPr>
        <w:t>на 2020 год и плановый период 2021 и 2022 годов</w:t>
      </w:r>
      <w:bookmarkEnd w:id="2"/>
      <w:bookmarkEnd w:id="3"/>
    </w:p>
    <w:p>
      <w:pPr>
        <w:pStyle w:val="Normal"/>
        <w:widowControl w:val="false"/>
        <w:spacing w:lineRule="auto" w:line="240" w:before="0" w:after="0"/>
        <w:ind w:left="0" w:right="0" w:hanging="0"/>
        <w:jc w:val="both"/>
        <w:rPr>
          <w:rFonts w:ascii="Liberation Serif" w:hAnsi="Liberation Serif"/>
          <w:bCs w:val="false"/>
          <w:sz w:val="28"/>
          <w:szCs w:val="28"/>
        </w:rPr>
      </w:pPr>
      <w:r>
        <w:rPr>
          <w:rFonts w:ascii="Liberation Serif" w:hAnsi="Liberation Serif"/>
          <w:bCs w:val="false"/>
          <w:sz w:val="28"/>
          <w:szCs w:val="28"/>
        </w:rPr>
      </w:r>
    </w:p>
    <w:p>
      <w:pPr>
        <w:pStyle w:val="Normal"/>
        <w:spacing w:lineRule="auto" w:line="240" w:before="0" w:after="0"/>
        <w:ind w:left="0" w:right="0" w:hanging="0"/>
        <w:jc w:val="both"/>
        <w:rPr>
          <w:rFonts w:ascii="Liberation Serif" w:hAnsi="Liberation Serif"/>
          <w:bCs w:val="false"/>
          <w:sz w:val="28"/>
          <w:szCs w:val="28"/>
        </w:rPr>
      </w:pPr>
      <w:r>
        <w:rPr>
          <w:rFonts w:ascii="Liberation Serif" w:hAnsi="Liberation Serif"/>
          <w:bCs w:val="false"/>
          <w:sz w:val="28"/>
          <w:szCs w:val="28"/>
        </w:rPr>
      </w:r>
    </w:p>
    <w:p>
      <w:pPr>
        <w:pStyle w:val="Normal"/>
        <w:widowControl/>
        <w:bidi w:val="0"/>
        <w:spacing w:lineRule="auto" w:line="240" w:before="0" w:after="0"/>
        <w:ind w:left="0" w:right="0" w:firstLine="737"/>
        <w:jc w:val="both"/>
        <w:rPr/>
      </w:pPr>
      <w:r>
        <w:rPr>
          <w:rFonts w:ascii="Liberation Serif" w:hAnsi="Liberation Serif"/>
          <w:bCs w:val="false"/>
          <w:sz w:val="28"/>
          <w:szCs w:val="28"/>
        </w:rPr>
        <w:t xml:space="preserve">В соответствии со статьей 107.1 Бюджетного кодекса </w:t>
      </w:r>
      <w:r>
        <w:rPr>
          <w:rFonts w:ascii="Liberation Serif" w:hAnsi="Liberation Serif"/>
          <w:sz w:val="28"/>
          <w:szCs w:val="28"/>
        </w:rPr>
        <w:t xml:space="preserve">("Собрание законодательства РФ", 03.08.1998, N 31, ст. 3823,"Российская газета", N 153-154, 12.08.1998), руководствуясь Уставом Камышловского городского округа ("Камышловские известия", N 58, 23.07.2005), </w:t>
      </w:r>
      <w:r>
        <w:rPr>
          <w:rFonts w:ascii="Liberation Serif" w:hAnsi="Liberation Serif"/>
          <w:bCs w:val="false"/>
          <w:sz w:val="28"/>
          <w:szCs w:val="28"/>
        </w:rPr>
        <w:t>администрация Камышловского городского округа</w:t>
      </w:r>
    </w:p>
    <w:p>
      <w:pPr>
        <w:pStyle w:val="Normal"/>
        <w:widowControl/>
        <w:bidi w:val="0"/>
        <w:spacing w:lineRule="auto" w:line="235" w:before="19" w:after="19"/>
        <w:ind w:left="0" w:right="0" w:hanging="0"/>
        <w:jc w:val="both"/>
        <w:rPr/>
      </w:pPr>
      <w:r>
        <w:rPr>
          <w:rFonts w:ascii="Liberation Serif" w:hAnsi="Liberation Serif"/>
          <w:bCs w:val="false"/>
          <w:sz w:val="28"/>
          <w:szCs w:val="28"/>
        </w:rPr>
        <w:t xml:space="preserve"> </w:t>
      </w:r>
      <w:r>
        <w:rPr>
          <w:rFonts w:ascii="Liberation Serif" w:hAnsi="Liberation Serif"/>
          <w:b/>
          <w:bCs w:val="false"/>
          <w:sz w:val="28"/>
          <w:szCs w:val="28"/>
        </w:rPr>
        <w:t>ПОСТАНОВЛЯЕТ:</w:t>
      </w:r>
    </w:p>
    <w:p>
      <w:pPr>
        <w:pStyle w:val="Normal"/>
        <w:widowControl w:val="false"/>
        <w:bidi w:val="0"/>
        <w:spacing w:lineRule="auto" w:line="240" w:before="0" w:after="0"/>
        <w:ind w:left="0" w:right="0" w:firstLine="737"/>
        <w:jc w:val="both"/>
        <w:rPr/>
      </w:pPr>
      <w:r>
        <w:rPr>
          <w:rFonts w:ascii="Liberation Serif" w:hAnsi="Liberation Serif"/>
          <w:bCs w:val="false"/>
          <w:sz w:val="28"/>
          <w:szCs w:val="28"/>
        </w:rPr>
        <w:t>1.</w:t>
      </w:r>
      <w:r>
        <w:rPr>
          <w:rFonts w:cs="Arial" w:ascii="Liberation Serif" w:hAnsi="Liberation Serif"/>
          <w:bCs w:val="false"/>
          <w:sz w:val="28"/>
          <w:szCs w:val="28"/>
          <w:lang w:val="en-US"/>
        </w:rPr>
        <w:t> </w:t>
      </w:r>
      <w:r>
        <w:rPr>
          <w:rFonts w:ascii="Liberation Serif" w:hAnsi="Liberation Serif"/>
          <w:bCs w:val="false"/>
          <w:sz w:val="28"/>
          <w:szCs w:val="28"/>
        </w:rPr>
        <w:t>Утвердить долговую политику Камышловского городского округа на 2020 год и плановый период 2021 и 2022 годов (прилагается).</w:t>
      </w:r>
    </w:p>
    <w:p>
      <w:pPr>
        <w:pStyle w:val="ConsPlusNormal1"/>
        <w:widowControl/>
        <w:bidi w:val="0"/>
        <w:spacing w:lineRule="auto" w:line="240" w:before="0" w:after="0"/>
        <w:ind w:left="0" w:right="0" w:firstLine="737"/>
        <w:jc w:val="both"/>
        <w:rPr/>
      </w:pPr>
      <w:r>
        <w:rPr>
          <w:rFonts w:ascii="Liberation Serif" w:hAnsi="Liberation Serif"/>
        </w:rPr>
        <w:t>2. Опубликовать настоящее постановление в газете "Камышловские известия" и разместить на официальном сайте Камышловского городского округа  в сети Интернет.</w:t>
      </w:r>
    </w:p>
    <w:p>
      <w:pPr>
        <w:pStyle w:val="Normal"/>
        <w:widowControl/>
        <w:bidi w:val="0"/>
        <w:spacing w:lineRule="auto" w:line="240" w:before="0" w:after="0"/>
        <w:ind w:left="0" w:right="0" w:firstLine="737"/>
        <w:jc w:val="both"/>
        <w:rPr/>
      </w:pPr>
      <w:r>
        <w:rPr>
          <w:rFonts w:ascii="Liberation Serif" w:hAnsi="Liberation Serif"/>
          <w:bCs w:val="false"/>
          <w:sz w:val="28"/>
          <w:szCs w:val="28"/>
        </w:rPr>
        <w:t>3.</w:t>
      </w:r>
      <w:r>
        <w:rPr>
          <w:rFonts w:cs="Arial" w:ascii="Liberation Serif" w:hAnsi="Liberation Serif"/>
          <w:bCs w:val="false"/>
          <w:sz w:val="28"/>
          <w:szCs w:val="28"/>
          <w:lang w:val="en-US"/>
        </w:rPr>
        <w:t>  </w:t>
      </w:r>
      <w:r>
        <w:rPr>
          <w:rFonts w:ascii="Liberation Serif" w:hAnsi="Liberation Serif"/>
          <w:sz w:val="28"/>
          <w:szCs w:val="28"/>
        </w:rPr>
        <w:t xml:space="preserve">Контроль за исполнением настоящего постановления оставляю за собой. </w:t>
      </w:r>
    </w:p>
    <w:p>
      <w:pPr>
        <w:pStyle w:val="Normal"/>
        <w:spacing w:lineRule="auto" w:line="240" w:before="0" w:after="0"/>
        <w:ind w:left="0" w:right="0" w:hanging="0"/>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hanging="0"/>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hanging="0"/>
        <w:rPr>
          <w:rFonts w:ascii="Liberation Serif" w:hAnsi="Liberation Serif"/>
          <w:bCs w:val="false"/>
          <w:sz w:val="28"/>
          <w:szCs w:val="28"/>
        </w:rPr>
      </w:pPr>
      <w:r>
        <w:rPr>
          <w:rFonts w:ascii="Liberation Serif" w:hAnsi="Liberation Serif"/>
          <w:bCs w:val="false"/>
          <w:sz w:val="28"/>
          <w:szCs w:val="28"/>
        </w:rPr>
        <w:t>И.о. главы администрации</w:t>
      </w:r>
    </w:p>
    <w:p>
      <w:pPr>
        <w:pStyle w:val="Normal"/>
        <w:spacing w:lineRule="auto" w:line="240" w:before="0" w:after="0"/>
        <w:ind w:left="0" w:right="0" w:hanging="0"/>
        <w:rPr>
          <w:rFonts w:ascii="Liberation Serif" w:hAnsi="Liberation Serif"/>
          <w:bCs w:val="false"/>
          <w:sz w:val="28"/>
          <w:szCs w:val="28"/>
        </w:rPr>
      </w:pPr>
      <w:r>
        <w:rPr>
          <w:rFonts w:ascii="Liberation Serif" w:hAnsi="Liberation Serif"/>
          <w:bCs w:val="false"/>
          <w:sz w:val="28"/>
          <w:szCs w:val="28"/>
        </w:rPr>
        <w:t>Камышловского городского округа                                                         Е.А. Бессонов</w:t>
      </w:r>
      <w:r>
        <w:br w:type="page"/>
      </w:r>
    </w:p>
    <w:p>
      <w:pPr>
        <w:pStyle w:val="Normal"/>
        <w:tabs>
          <w:tab w:val="clear" w:pos="708"/>
          <w:tab w:val="left" w:pos="11766" w:leader="none"/>
        </w:tabs>
        <w:overflowPunct w:val="false"/>
        <w:ind w:left="5387" w:hanging="142"/>
        <w:textAlignment w:val="baseline"/>
        <w:rPr>
          <w:b/>
          <w:b/>
          <w:bCs/>
        </w:rPr>
      </w:pPr>
      <w:r>
        <w:rPr>
          <w:rFonts w:ascii="Liberation Serif" w:hAnsi="Liberation Serif"/>
          <w:b/>
          <w:bCs/>
          <w:sz w:val="28"/>
          <w:szCs w:val="28"/>
        </w:rPr>
        <w:t>УТВЕРЖДЕНА</w:t>
      </w:r>
    </w:p>
    <w:p>
      <w:pPr>
        <w:pStyle w:val="Normal"/>
        <w:tabs>
          <w:tab w:val="clear" w:pos="708"/>
          <w:tab w:val="left" w:pos="11766" w:leader="none"/>
        </w:tabs>
        <w:overflowPunct w:val="false"/>
        <w:ind w:left="5387" w:hanging="142"/>
        <w:textAlignment w:val="baseline"/>
        <w:rPr>
          <w:rFonts w:ascii="Liberation Serif" w:hAnsi="Liberation Serif"/>
          <w:bCs w:val="false"/>
          <w:sz w:val="28"/>
          <w:szCs w:val="28"/>
        </w:rPr>
      </w:pPr>
      <w:r>
        <w:rPr>
          <w:rFonts w:ascii="Liberation Serif" w:hAnsi="Liberation Serif"/>
          <w:bCs w:val="false"/>
          <w:sz w:val="28"/>
          <w:szCs w:val="28"/>
        </w:rPr>
        <w:t>постановлением администрации</w:t>
      </w:r>
    </w:p>
    <w:p>
      <w:pPr>
        <w:pStyle w:val="Normal"/>
        <w:tabs>
          <w:tab w:val="clear" w:pos="708"/>
          <w:tab w:val="left" w:pos="11766" w:leader="none"/>
        </w:tabs>
        <w:overflowPunct w:val="false"/>
        <w:ind w:left="5245" w:hanging="0"/>
        <w:textAlignment w:val="baseline"/>
        <w:rPr>
          <w:rFonts w:ascii="Liberation Serif" w:hAnsi="Liberation Serif"/>
          <w:bCs w:val="false"/>
          <w:sz w:val="28"/>
          <w:szCs w:val="28"/>
        </w:rPr>
      </w:pPr>
      <w:r>
        <w:rPr>
          <w:rFonts w:ascii="Liberation Serif" w:hAnsi="Liberation Serif"/>
          <w:bCs w:val="false"/>
          <w:sz w:val="28"/>
          <w:szCs w:val="28"/>
        </w:rPr>
        <w:t>Камышловского городского округа</w:t>
      </w:r>
    </w:p>
    <w:p>
      <w:pPr>
        <w:pStyle w:val="Normal"/>
        <w:tabs>
          <w:tab w:val="clear" w:pos="708"/>
          <w:tab w:val="left" w:pos="11766" w:leader="none"/>
        </w:tabs>
        <w:overflowPunct w:val="false"/>
        <w:ind w:left="5245" w:hanging="0"/>
        <w:textAlignment w:val="baseline"/>
        <w:rPr/>
      </w:pPr>
      <w:r>
        <w:rPr>
          <w:rFonts w:ascii="Liberation Serif" w:hAnsi="Liberation Serif"/>
          <w:bCs w:val="false"/>
          <w:sz w:val="28"/>
          <w:szCs w:val="28"/>
        </w:rPr>
        <w:t>от 08.11.2019  № 953</w:t>
      </w:r>
    </w:p>
    <w:p>
      <w:pPr>
        <w:pStyle w:val="Normal"/>
        <w:tabs>
          <w:tab w:val="clear" w:pos="708"/>
          <w:tab w:val="left" w:pos="11766" w:leader="none"/>
        </w:tabs>
        <w:overflowPunct w:val="false"/>
        <w:ind w:firstLine="709"/>
        <w:jc w:val="both"/>
        <w:textAlignment w:val="baseline"/>
        <w:rPr>
          <w:rFonts w:ascii="Liberation Serif" w:hAnsi="Liberation Serif"/>
          <w:bCs w:val="false"/>
          <w:sz w:val="28"/>
          <w:szCs w:val="28"/>
        </w:rPr>
      </w:pPr>
      <w:r>
        <w:rPr>
          <w:rFonts w:ascii="Liberation Serif" w:hAnsi="Liberation Serif"/>
          <w:bCs w:val="false"/>
          <w:sz w:val="28"/>
          <w:szCs w:val="28"/>
        </w:rPr>
      </w:r>
    </w:p>
    <w:p>
      <w:pPr>
        <w:pStyle w:val="Normal"/>
        <w:ind w:left="-851" w:right="-1" w:firstLine="851"/>
        <w:jc w:val="center"/>
        <w:rPr>
          <w:rFonts w:ascii="Liberation Serif" w:hAnsi="Liberation Serif"/>
          <w:b/>
          <w:b/>
          <w:bCs w:val="false"/>
          <w:sz w:val="28"/>
          <w:szCs w:val="28"/>
        </w:rPr>
      </w:pPr>
      <w:r>
        <w:rPr>
          <w:rFonts w:ascii="Liberation Serif" w:hAnsi="Liberation Serif"/>
          <w:b/>
          <w:bCs w:val="false"/>
          <w:sz w:val="28"/>
          <w:szCs w:val="28"/>
        </w:rPr>
      </w:r>
    </w:p>
    <w:p>
      <w:pPr>
        <w:pStyle w:val="Normal"/>
        <w:ind w:right="-1" w:hanging="0"/>
        <w:jc w:val="center"/>
        <w:rPr>
          <w:rFonts w:ascii="Liberation Serif" w:hAnsi="Liberation Serif"/>
          <w:b/>
          <w:b/>
          <w:bCs w:val="false"/>
          <w:sz w:val="28"/>
          <w:szCs w:val="28"/>
        </w:rPr>
      </w:pPr>
      <w:r>
        <w:rPr>
          <w:rFonts w:ascii="Liberation Serif" w:hAnsi="Liberation Serif"/>
          <w:b/>
          <w:bCs w:val="false"/>
          <w:sz w:val="28"/>
          <w:szCs w:val="28"/>
        </w:rPr>
        <w:t>ДОЛГОВАЯ ПОЛИТИКА</w:t>
      </w:r>
    </w:p>
    <w:p>
      <w:pPr>
        <w:pStyle w:val="Normal"/>
        <w:ind w:right="-1" w:hanging="0"/>
        <w:jc w:val="center"/>
        <w:rPr>
          <w:rFonts w:ascii="Liberation Serif" w:hAnsi="Liberation Serif"/>
          <w:b/>
          <w:b/>
          <w:bCs w:val="false"/>
          <w:sz w:val="28"/>
          <w:szCs w:val="28"/>
        </w:rPr>
      </w:pPr>
      <w:r>
        <w:rPr>
          <w:rFonts w:ascii="Liberation Serif" w:hAnsi="Liberation Serif"/>
          <w:b/>
          <w:bCs w:val="false"/>
          <w:sz w:val="28"/>
          <w:szCs w:val="28"/>
        </w:rPr>
        <w:t>Камышловского городского округа на 2020 год и плановый период 2021 и 2022 годов</w:t>
      </w:r>
    </w:p>
    <w:p>
      <w:pPr>
        <w:pStyle w:val="Normal"/>
        <w:ind w:right="-1" w:hanging="0"/>
        <w:jc w:val="center"/>
        <w:rPr>
          <w:rFonts w:ascii="Liberation Serif" w:hAnsi="Liberation Serif"/>
          <w:b/>
          <w:b/>
          <w:bCs w:val="false"/>
          <w:sz w:val="28"/>
          <w:szCs w:val="28"/>
        </w:rPr>
      </w:pPr>
      <w:r>
        <w:rPr>
          <w:rFonts w:ascii="Liberation Serif" w:hAnsi="Liberation Serif"/>
          <w:b/>
          <w:bCs w:val="false"/>
          <w:sz w:val="28"/>
          <w:szCs w:val="28"/>
        </w:rPr>
      </w:r>
    </w:p>
    <w:p>
      <w:pPr>
        <w:pStyle w:val="Normal"/>
        <w:ind w:right="-1" w:hanging="0"/>
        <w:jc w:val="center"/>
        <w:rPr>
          <w:rFonts w:ascii="Liberation Serif" w:hAnsi="Liberation Serif"/>
          <w:b/>
          <w:b/>
          <w:bCs w:val="false"/>
          <w:sz w:val="28"/>
          <w:szCs w:val="28"/>
        </w:rPr>
      </w:pPr>
      <w:r>
        <w:rPr>
          <w:rFonts w:ascii="Liberation Serif" w:hAnsi="Liberation Serif"/>
          <w:b/>
          <w:bCs w:val="false"/>
          <w:sz w:val="28"/>
          <w:szCs w:val="28"/>
        </w:rPr>
        <w:t>Глава 1. Общие положения</w:t>
      </w:r>
    </w:p>
    <w:p>
      <w:pPr>
        <w:pStyle w:val="Normal"/>
        <w:ind w:right="-1" w:hanging="0"/>
        <w:jc w:val="center"/>
        <w:rPr>
          <w:rFonts w:ascii="Liberation Serif" w:hAnsi="Liberation Serif"/>
          <w:bCs w:val="false"/>
          <w:sz w:val="28"/>
          <w:szCs w:val="28"/>
        </w:rPr>
      </w:pPr>
      <w:r>
        <w:rPr>
          <w:rFonts w:ascii="Liberation Serif" w:hAnsi="Liberation Serif"/>
          <w:bCs w:val="false"/>
          <w:sz w:val="28"/>
          <w:szCs w:val="28"/>
        </w:rPr>
      </w:r>
    </w:p>
    <w:p>
      <w:pPr>
        <w:pStyle w:val="Normal"/>
        <w:ind w:firstLine="708"/>
        <w:jc w:val="both"/>
        <w:rPr>
          <w:rFonts w:ascii="Liberation Serif" w:hAnsi="Liberation Serif"/>
          <w:bCs w:val="false"/>
        </w:rPr>
      </w:pPr>
      <w:r>
        <w:rPr>
          <w:rFonts w:ascii="Liberation Serif" w:hAnsi="Liberation Serif"/>
          <w:bCs w:val="false"/>
          <w:iCs/>
          <w:sz w:val="28"/>
          <w:szCs w:val="28"/>
        </w:rPr>
        <w:t>Долговая политика Камышловского городского округа (далее – долговая политика) является частью бюджетной политики, непосредственно связана с бюджетным процессом в Камышловском городском округе и способствует решению задач, стоящих перед Камышловским городским округом. Долговая политика определяет основные задачи и приоритеты деятельности администрации Камышловского городского округа в сфере управления муниципальным долгом.</w:t>
      </w:r>
    </w:p>
    <w:p>
      <w:pPr>
        <w:pStyle w:val="Normal"/>
        <w:ind w:firstLine="708"/>
        <w:jc w:val="both"/>
        <w:rPr>
          <w:rFonts w:ascii="Liberation Serif" w:hAnsi="Liberation Serif"/>
          <w:bCs w:val="false"/>
          <w:iCs/>
          <w:sz w:val="28"/>
          <w:szCs w:val="28"/>
        </w:rPr>
      </w:pPr>
      <w:r>
        <w:rPr>
          <w:rFonts w:ascii="Liberation Serif" w:hAnsi="Liberation Serif"/>
          <w:bCs w:val="false"/>
          <w:iCs/>
          <w:sz w:val="28"/>
          <w:szCs w:val="28"/>
        </w:rPr>
        <w:t>Долговая политика заключается в реализации комплекса мер, направленных на обеспечение потребностей публично-правового образования в заемном финансировании (далее – заимствования), своевременное и полное исполнение обязательств по погашению и обслуживанию муниципального долга Камышловского городского округа (далее – муниципальный долг), минимизацию расходов на обслуживание муниципального долга, поддержание объема и структуры долговых обязательств, исключающих их неисполнение.</w:t>
      </w:r>
    </w:p>
    <w:p>
      <w:pPr>
        <w:pStyle w:val="Normal"/>
        <w:jc w:val="center"/>
        <w:rPr>
          <w:rFonts w:ascii="Liberation Serif" w:hAnsi="Liberation Serif"/>
          <w:b/>
          <w:b/>
          <w:bCs w:val="false"/>
          <w:sz w:val="28"/>
        </w:rPr>
      </w:pPr>
      <w:r>
        <w:rPr>
          <w:rFonts w:ascii="Liberation Serif" w:hAnsi="Liberation Serif"/>
          <w:b/>
          <w:bCs w:val="false"/>
          <w:sz w:val="28"/>
        </w:rPr>
      </w:r>
    </w:p>
    <w:p>
      <w:pPr>
        <w:pStyle w:val="Normal"/>
        <w:jc w:val="center"/>
        <w:rPr>
          <w:rFonts w:ascii="Liberation Serif" w:hAnsi="Liberation Serif"/>
          <w:b/>
          <w:b/>
          <w:bCs w:val="false"/>
          <w:sz w:val="28"/>
        </w:rPr>
      </w:pPr>
      <w:r>
        <w:rPr>
          <w:rFonts w:ascii="Liberation Serif" w:hAnsi="Liberation Serif"/>
          <w:b/>
          <w:bCs w:val="false"/>
          <w:sz w:val="28"/>
        </w:rPr>
        <w:t xml:space="preserve">Глава 2. Итоги реализации долговой политики </w:t>
      </w:r>
    </w:p>
    <w:p>
      <w:pPr>
        <w:pStyle w:val="Normal"/>
        <w:jc w:val="center"/>
        <w:rPr>
          <w:rFonts w:ascii="Liberation Serif" w:hAnsi="Liberation Serif"/>
          <w:b/>
          <w:b/>
          <w:bCs w:val="false"/>
          <w:sz w:val="28"/>
        </w:rPr>
      </w:pPr>
      <w:r>
        <w:rPr>
          <w:rFonts w:ascii="Liberation Serif" w:hAnsi="Liberation Serif"/>
          <w:b/>
          <w:bCs w:val="false"/>
          <w:sz w:val="28"/>
        </w:rPr>
      </w:r>
    </w:p>
    <w:p>
      <w:pPr>
        <w:pStyle w:val="Normal"/>
        <w:ind w:firstLine="709"/>
        <w:jc w:val="both"/>
        <w:rPr>
          <w:rFonts w:ascii="Liberation Serif" w:hAnsi="Liberation Serif"/>
          <w:bCs w:val="false"/>
          <w:iCs/>
          <w:sz w:val="28"/>
          <w:szCs w:val="28"/>
        </w:rPr>
      </w:pPr>
      <w:r>
        <w:rPr>
          <w:rFonts w:ascii="Liberation Serif" w:hAnsi="Liberation Serif"/>
          <w:bCs w:val="false"/>
          <w:iCs/>
          <w:sz w:val="28"/>
          <w:szCs w:val="28"/>
        </w:rPr>
        <w:t>Привлечение заемных средств в бюджет Камышловского городского округа осуществляется для погашения долговых обязательств Камышловского городского округа (далее – долговые обязательства) и покрытия дефицита бюджета Камышловского городского округа в целях обеспечения его сбалансированности.</w:t>
      </w:r>
    </w:p>
    <w:p>
      <w:pPr>
        <w:pStyle w:val="Normal"/>
        <w:ind w:firstLine="709"/>
        <w:jc w:val="both"/>
        <w:rPr>
          <w:rFonts w:ascii="Liberation Serif" w:hAnsi="Liberation Serif"/>
          <w:bCs w:val="false"/>
          <w:iCs/>
          <w:sz w:val="28"/>
          <w:szCs w:val="28"/>
        </w:rPr>
      </w:pPr>
      <w:r>
        <w:rPr>
          <w:rFonts w:ascii="Liberation Serif" w:hAnsi="Liberation Serif"/>
          <w:bCs w:val="false"/>
          <w:iCs/>
          <w:sz w:val="28"/>
          <w:szCs w:val="28"/>
        </w:rPr>
        <w:t>Привлечение заимствований обеспечивает возможность направления доходов бюджета Камышловского городского округа на финансирование расходов бюджета в социальной сфере, в том числе на повышение заработной платы отдельным категориям работников бюджетной сферы, развитие социальной инфраструктуры Камышловского городского округа и проведение мероприятий, направленных на социально-экономическое развитие Камышловского городского округа.</w:t>
      </w:r>
    </w:p>
    <w:p>
      <w:pPr>
        <w:pStyle w:val="Normal"/>
        <w:tabs>
          <w:tab w:val="clear" w:pos="708"/>
          <w:tab w:val="left" w:pos="709" w:leader="none"/>
          <w:tab w:val="left" w:pos="2694" w:leader="none"/>
        </w:tabs>
        <w:ind w:firstLine="709"/>
        <w:jc w:val="both"/>
        <w:rPr>
          <w:rFonts w:ascii="Liberation Serif" w:hAnsi="Liberation Serif"/>
          <w:bCs w:val="false"/>
          <w:sz w:val="28"/>
          <w:szCs w:val="28"/>
        </w:rPr>
      </w:pPr>
      <w:r>
        <w:rPr>
          <w:rFonts w:ascii="Liberation Serif" w:hAnsi="Liberation Serif"/>
          <w:bCs w:val="false"/>
          <w:sz w:val="28"/>
          <w:szCs w:val="28"/>
        </w:rPr>
        <w:t>Основным источником покрытия дефицита бюджета Камышловского городского округа стало привлечение кредитов из областного бюджета.</w:t>
      </w:r>
    </w:p>
    <w:p>
      <w:pPr>
        <w:pStyle w:val="Normal"/>
        <w:tabs>
          <w:tab w:val="clear" w:pos="708"/>
          <w:tab w:val="left" w:pos="709" w:leader="none"/>
          <w:tab w:val="left" w:pos="2694" w:leader="none"/>
        </w:tabs>
        <w:ind w:firstLine="709"/>
        <w:jc w:val="both"/>
        <w:rPr>
          <w:rFonts w:ascii="Liberation Serif" w:hAnsi="Liberation Serif"/>
          <w:sz w:val="28"/>
          <w:szCs w:val="28"/>
        </w:rPr>
      </w:pPr>
      <w:r>
        <w:rPr>
          <w:rFonts w:ascii="Liberation Serif" w:hAnsi="Liberation Serif"/>
          <w:sz w:val="28"/>
          <w:szCs w:val="28"/>
        </w:rPr>
        <w:t>За 2016–2018 годы муниципальный долг Камышловского городского округа снизился на 19,0 млн. рублей и на 1 января 2019 года составил 35,1 млн. рублей.</w:t>
      </w:r>
    </w:p>
    <w:p>
      <w:pPr>
        <w:pStyle w:val="Normal"/>
        <w:tabs>
          <w:tab w:val="clear" w:pos="708"/>
          <w:tab w:val="left" w:pos="709" w:leader="none"/>
          <w:tab w:val="left" w:pos="2694" w:leader="none"/>
        </w:tabs>
        <w:ind w:firstLine="709"/>
        <w:jc w:val="both"/>
        <w:rPr>
          <w:rFonts w:ascii="Liberation Serif" w:hAnsi="Liberation Serif"/>
          <w:sz w:val="28"/>
          <w:szCs w:val="28"/>
        </w:rPr>
      </w:pPr>
      <w:r>
        <w:rPr>
          <w:rFonts w:ascii="Liberation Serif" w:hAnsi="Liberation Serif"/>
          <w:sz w:val="28"/>
          <w:szCs w:val="28"/>
        </w:rPr>
        <w:t>Информация об основных показателях состояния муниципального долга Свердловской области за 2015–2018 годы приведена в таблицах 1 и 2.</w:t>
      </w:r>
    </w:p>
    <w:p>
      <w:pPr>
        <w:pStyle w:val="Normal"/>
        <w:tabs>
          <w:tab w:val="clear" w:pos="708"/>
          <w:tab w:val="left" w:pos="709" w:leader="none"/>
          <w:tab w:val="left" w:pos="2694" w:leader="none"/>
        </w:tabs>
        <w:ind w:firstLine="709"/>
        <w:jc w:val="both"/>
        <w:rPr>
          <w:rFonts w:ascii="Liberation Serif" w:hAnsi="Liberation Serif"/>
          <w:sz w:val="28"/>
          <w:szCs w:val="28"/>
        </w:rPr>
      </w:pPr>
      <w:r>
        <w:rPr>
          <w:rFonts w:ascii="Liberation Serif" w:hAnsi="Liberation Serif"/>
          <w:sz w:val="28"/>
          <w:szCs w:val="28"/>
        </w:rPr>
      </w:r>
    </w:p>
    <w:p>
      <w:pPr>
        <w:pStyle w:val="Normal"/>
        <w:tabs>
          <w:tab w:val="clear" w:pos="708"/>
          <w:tab w:val="left" w:pos="709" w:leader="none"/>
          <w:tab w:val="left" w:pos="2694" w:leader="none"/>
        </w:tabs>
        <w:jc w:val="center"/>
        <w:rPr>
          <w:rFonts w:ascii="Liberation Serif" w:hAnsi="Liberation Serif"/>
          <w:sz w:val="28"/>
          <w:szCs w:val="28"/>
        </w:rPr>
      </w:pPr>
      <w:r>
        <w:rPr>
          <w:rFonts w:ascii="Liberation Serif" w:hAnsi="Liberation Serif"/>
          <w:sz w:val="28"/>
          <w:szCs w:val="28"/>
        </w:rPr>
        <w:t>Объем и структура муниципального долга Камышловского городского округа</w:t>
      </w:r>
    </w:p>
    <w:p>
      <w:pPr>
        <w:pStyle w:val="Normal"/>
        <w:tabs>
          <w:tab w:val="clear" w:pos="708"/>
          <w:tab w:val="left" w:pos="709" w:leader="none"/>
          <w:tab w:val="left" w:pos="2694" w:leader="none"/>
        </w:tabs>
        <w:jc w:val="center"/>
        <w:rPr>
          <w:rFonts w:ascii="Liberation Serif" w:hAnsi="Liberation Serif"/>
          <w:sz w:val="28"/>
          <w:szCs w:val="28"/>
        </w:rPr>
      </w:pPr>
      <w:r>
        <w:rPr>
          <w:rFonts w:ascii="Liberation Serif" w:hAnsi="Liberation Serif"/>
          <w:sz w:val="28"/>
          <w:szCs w:val="28"/>
        </w:rPr>
      </w:r>
    </w:p>
    <w:p>
      <w:pPr>
        <w:pStyle w:val="Normal"/>
        <w:tabs>
          <w:tab w:val="clear" w:pos="708"/>
          <w:tab w:val="left" w:pos="709" w:leader="none"/>
          <w:tab w:val="left" w:pos="2694" w:leader="none"/>
        </w:tabs>
        <w:jc w:val="right"/>
        <w:rPr>
          <w:rFonts w:ascii="Liberation Serif" w:hAnsi="Liberation Serif"/>
        </w:rPr>
      </w:pPr>
      <w:r>
        <w:rPr>
          <w:rFonts w:ascii="Liberation Serif" w:hAnsi="Liberation Serif"/>
        </w:rPr>
        <w:t>Таблица 1</w:t>
      </w:r>
    </w:p>
    <w:p>
      <w:pPr>
        <w:pStyle w:val="Normal"/>
        <w:tabs>
          <w:tab w:val="clear" w:pos="708"/>
          <w:tab w:val="left" w:pos="709" w:leader="none"/>
          <w:tab w:val="left" w:pos="2694" w:leader="none"/>
        </w:tabs>
        <w:jc w:val="right"/>
        <w:rPr>
          <w:rFonts w:ascii="Liberation Serif" w:hAnsi="Liberation Serif"/>
        </w:rPr>
      </w:pPr>
      <w:r>
        <w:rPr>
          <w:rFonts w:ascii="Liberation Serif" w:hAnsi="Liberation Serif"/>
        </w:rPr>
        <w:t>(млн. рублей)</w:t>
      </w:r>
    </w:p>
    <w:tbl>
      <w:tblPr>
        <w:tblW w:w="1013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959"/>
        <w:gridCol w:w="3724"/>
        <w:gridCol w:w="1386"/>
        <w:gridCol w:w="1386"/>
        <w:gridCol w:w="1386"/>
        <w:gridCol w:w="1296"/>
      </w:tblGrid>
      <w:tr>
        <w:trPr/>
        <w:tc>
          <w:tcPr>
            <w:tcW w:w="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Номер строки</w:t>
            </w:r>
          </w:p>
        </w:tc>
        <w:tc>
          <w:tcPr>
            <w:tcW w:w="37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Вид долгового обязательства</w:t>
            </w:r>
          </w:p>
        </w:tc>
        <w:tc>
          <w:tcPr>
            <w:tcW w:w="1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2015 год</w:t>
            </w:r>
          </w:p>
        </w:tc>
        <w:tc>
          <w:tcPr>
            <w:tcW w:w="1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2016 год</w:t>
            </w:r>
          </w:p>
        </w:tc>
        <w:tc>
          <w:tcPr>
            <w:tcW w:w="1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2017 год</w:t>
            </w:r>
          </w:p>
        </w:tc>
        <w:tc>
          <w:tcPr>
            <w:tcW w:w="12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2018 год</w:t>
            </w:r>
          </w:p>
        </w:tc>
      </w:tr>
      <w:tr>
        <w:trPr/>
        <w:tc>
          <w:tcPr>
            <w:tcW w:w="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1.</w:t>
            </w:r>
          </w:p>
        </w:tc>
        <w:tc>
          <w:tcPr>
            <w:tcW w:w="37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rPr>
                <w:rFonts w:ascii="Liberation Serif" w:hAnsi="Liberation Serif"/>
              </w:rPr>
            </w:pPr>
            <w:r>
              <w:rPr>
                <w:rFonts w:ascii="Liberation Serif" w:hAnsi="Liberation Serif"/>
              </w:rPr>
              <w:t>Бюджетные кредиты</w:t>
            </w:r>
          </w:p>
        </w:tc>
        <w:tc>
          <w:tcPr>
            <w:tcW w:w="1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20,4</w:t>
            </w:r>
          </w:p>
        </w:tc>
        <w:tc>
          <w:tcPr>
            <w:tcW w:w="1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23,8</w:t>
            </w:r>
          </w:p>
        </w:tc>
        <w:tc>
          <w:tcPr>
            <w:tcW w:w="1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16,9</w:t>
            </w:r>
          </w:p>
        </w:tc>
        <w:tc>
          <w:tcPr>
            <w:tcW w:w="12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20,7</w:t>
            </w:r>
          </w:p>
        </w:tc>
      </w:tr>
      <w:tr>
        <w:trPr/>
        <w:tc>
          <w:tcPr>
            <w:tcW w:w="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w:t>
            </w:r>
          </w:p>
        </w:tc>
        <w:tc>
          <w:tcPr>
            <w:tcW w:w="37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rPr>
                <w:rFonts w:ascii="Liberation Serif" w:hAnsi="Liberation Serif"/>
              </w:rPr>
            </w:pPr>
            <w:r>
              <w:rPr>
                <w:rFonts w:ascii="Liberation Serif" w:hAnsi="Liberation Serif"/>
              </w:rPr>
              <w:t>Муниципальные гарантии</w:t>
            </w:r>
          </w:p>
        </w:tc>
        <w:tc>
          <w:tcPr>
            <w:tcW w:w="1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22,3</w:t>
            </w:r>
          </w:p>
        </w:tc>
        <w:tc>
          <w:tcPr>
            <w:tcW w:w="1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30,3</w:t>
            </w:r>
          </w:p>
        </w:tc>
        <w:tc>
          <w:tcPr>
            <w:tcW w:w="1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26,3</w:t>
            </w:r>
          </w:p>
        </w:tc>
        <w:tc>
          <w:tcPr>
            <w:tcW w:w="12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14,4</w:t>
            </w:r>
          </w:p>
        </w:tc>
      </w:tr>
      <w:tr>
        <w:trPr/>
        <w:tc>
          <w:tcPr>
            <w:tcW w:w="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3.</w:t>
            </w:r>
          </w:p>
        </w:tc>
        <w:tc>
          <w:tcPr>
            <w:tcW w:w="37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rPr>
                <w:rFonts w:ascii="Liberation Serif" w:hAnsi="Liberation Serif"/>
              </w:rPr>
            </w:pPr>
            <w:r>
              <w:rPr>
                <w:rFonts w:ascii="Liberation Serif" w:hAnsi="Liberation Serif"/>
              </w:rPr>
              <w:t>Всего</w:t>
            </w:r>
          </w:p>
        </w:tc>
        <w:tc>
          <w:tcPr>
            <w:tcW w:w="1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42,7</w:t>
            </w:r>
          </w:p>
        </w:tc>
        <w:tc>
          <w:tcPr>
            <w:tcW w:w="1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54,1</w:t>
            </w:r>
          </w:p>
        </w:tc>
        <w:tc>
          <w:tcPr>
            <w:tcW w:w="13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43,2</w:t>
            </w:r>
          </w:p>
        </w:tc>
        <w:tc>
          <w:tcPr>
            <w:tcW w:w="12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35,1</w:t>
            </w:r>
          </w:p>
        </w:tc>
      </w:tr>
    </w:tbl>
    <w:p>
      <w:pPr>
        <w:pStyle w:val="Normal"/>
        <w:tabs>
          <w:tab w:val="clear" w:pos="708"/>
          <w:tab w:val="left" w:pos="709" w:leader="none"/>
          <w:tab w:val="left" w:pos="2694" w:leader="none"/>
        </w:tabs>
        <w:jc w:val="center"/>
        <w:rPr>
          <w:rFonts w:ascii="Liberation Serif" w:hAnsi="Liberation Serif"/>
          <w:sz w:val="28"/>
          <w:szCs w:val="28"/>
        </w:rPr>
      </w:pPr>
      <w:r>
        <w:rPr>
          <w:rFonts w:ascii="Liberation Serif" w:hAnsi="Liberation Serif"/>
          <w:sz w:val="28"/>
          <w:szCs w:val="28"/>
        </w:rPr>
      </w:r>
    </w:p>
    <w:p>
      <w:pPr>
        <w:pStyle w:val="Normal"/>
        <w:tabs>
          <w:tab w:val="clear" w:pos="708"/>
          <w:tab w:val="left" w:pos="709" w:leader="none"/>
          <w:tab w:val="left" w:pos="2694" w:leader="none"/>
        </w:tabs>
        <w:jc w:val="center"/>
        <w:rPr>
          <w:rFonts w:ascii="Liberation Serif" w:hAnsi="Liberation Serif"/>
          <w:sz w:val="28"/>
          <w:szCs w:val="28"/>
        </w:rPr>
      </w:pPr>
      <w:r>
        <w:rPr>
          <w:rFonts w:ascii="Liberation Serif" w:hAnsi="Liberation Serif"/>
          <w:sz w:val="28"/>
          <w:szCs w:val="28"/>
        </w:rPr>
        <w:t>Динамика муниципального долга Камышловского городского округа</w:t>
      </w:r>
    </w:p>
    <w:p>
      <w:pPr>
        <w:pStyle w:val="Normal"/>
        <w:tabs>
          <w:tab w:val="clear" w:pos="708"/>
          <w:tab w:val="left" w:pos="709" w:leader="none"/>
          <w:tab w:val="left" w:pos="2694" w:leader="none"/>
        </w:tabs>
        <w:jc w:val="right"/>
        <w:rPr>
          <w:rFonts w:ascii="Liberation Serif" w:hAnsi="Liberation Serif"/>
          <w:sz w:val="28"/>
          <w:szCs w:val="28"/>
        </w:rPr>
      </w:pPr>
      <w:r>
        <w:rPr>
          <w:rFonts w:ascii="Liberation Serif" w:hAnsi="Liberation Serif"/>
        </w:rPr>
        <w:t>Таблица 2</w:t>
      </w:r>
    </w:p>
    <w:tbl>
      <w:tblPr>
        <w:tblW w:w="10137"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962"/>
        <w:gridCol w:w="3732"/>
        <w:gridCol w:w="1385"/>
        <w:gridCol w:w="1387"/>
        <w:gridCol w:w="1388"/>
        <w:gridCol w:w="1282"/>
      </w:tblGrid>
      <w:tr>
        <w:trPr/>
        <w:tc>
          <w:tcPr>
            <w:tcW w:w="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Liberation Serif" w:hAnsi="Liberation Serif"/>
              </w:rPr>
            </w:pPr>
            <w:r>
              <w:rPr>
                <w:rFonts w:ascii="Liberation Serif" w:hAnsi="Liberation Serif"/>
              </w:rPr>
              <w:t>Номер строки</w:t>
            </w:r>
          </w:p>
        </w:tc>
        <w:tc>
          <w:tcPr>
            <w:tcW w:w="3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Наименование показателя</w:t>
            </w:r>
          </w:p>
        </w:tc>
        <w:tc>
          <w:tcPr>
            <w:tcW w:w="1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2015 год</w:t>
            </w:r>
          </w:p>
        </w:tc>
        <w:tc>
          <w:tcPr>
            <w:tcW w:w="13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2016 год</w:t>
            </w:r>
          </w:p>
        </w:tc>
        <w:tc>
          <w:tcPr>
            <w:tcW w:w="13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2017 год</w:t>
            </w:r>
          </w:p>
        </w:tc>
        <w:tc>
          <w:tcPr>
            <w:tcW w:w="12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2018 год</w:t>
            </w:r>
          </w:p>
        </w:tc>
      </w:tr>
    </w:tbl>
    <w:p>
      <w:pPr>
        <w:pStyle w:val="Normal"/>
        <w:rPr>
          <w:rFonts w:ascii="Liberation Serif" w:hAnsi="Liberation Serif"/>
          <w:vanish/>
        </w:rPr>
      </w:pPr>
      <w:r>
        <w:rPr>
          <w:rFonts w:ascii="Liberation Serif" w:hAnsi="Liberation Serif"/>
          <w:vanish/>
        </w:rPr>
      </w:r>
    </w:p>
    <w:tbl>
      <w:tblPr>
        <w:tblW w:w="10137"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955"/>
        <w:gridCol w:w="3732"/>
        <w:gridCol w:w="1385"/>
        <w:gridCol w:w="1382"/>
        <w:gridCol w:w="1385"/>
        <w:gridCol w:w="1297"/>
      </w:tblGrid>
      <w:tr>
        <w:trPr>
          <w:tblHeader w:val="true"/>
        </w:trPr>
        <w:tc>
          <w:tcPr>
            <w:tcW w:w="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jc w:val="center"/>
              <w:rPr>
                <w:rFonts w:ascii="Liberation Serif" w:hAnsi="Liberation Serif"/>
              </w:rPr>
            </w:pPr>
            <w:r>
              <w:rPr>
                <w:rFonts w:ascii="Liberation Serif" w:hAnsi="Liberation Serif"/>
              </w:rPr>
              <w:t>1</w:t>
            </w:r>
          </w:p>
        </w:tc>
        <w:tc>
          <w:tcPr>
            <w:tcW w:w="3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jc w:val="center"/>
              <w:rPr>
                <w:rFonts w:ascii="Liberation Serif" w:hAnsi="Liberation Serif"/>
              </w:rPr>
            </w:pPr>
            <w:r>
              <w:rPr>
                <w:rFonts w:ascii="Liberation Serif" w:hAnsi="Liberation Serif"/>
              </w:rPr>
              <w:t>2</w:t>
            </w:r>
          </w:p>
        </w:tc>
        <w:tc>
          <w:tcPr>
            <w:tcW w:w="1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jc w:val="center"/>
              <w:rPr>
                <w:rFonts w:ascii="Liberation Serif" w:hAnsi="Liberation Serif"/>
              </w:rPr>
            </w:pPr>
            <w:r>
              <w:rPr>
                <w:rFonts w:ascii="Liberation Serif" w:hAnsi="Liberation Serif"/>
              </w:rPr>
              <w:t>3</w:t>
            </w:r>
          </w:p>
        </w:tc>
        <w:tc>
          <w:tcPr>
            <w:tcW w:w="13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jc w:val="center"/>
              <w:rPr>
                <w:rFonts w:ascii="Liberation Serif" w:hAnsi="Liberation Serif"/>
              </w:rPr>
            </w:pPr>
            <w:r>
              <w:rPr>
                <w:rFonts w:ascii="Liberation Serif" w:hAnsi="Liberation Serif"/>
              </w:rPr>
              <w:t>4</w:t>
            </w:r>
          </w:p>
        </w:tc>
        <w:tc>
          <w:tcPr>
            <w:tcW w:w="1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jc w:val="center"/>
              <w:rPr>
                <w:rFonts w:ascii="Liberation Serif" w:hAnsi="Liberation Serif"/>
              </w:rPr>
            </w:pPr>
            <w:r>
              <w:rPr>
                <w:rFonts w:ascii="Liberation Serif" w:hAnsi="Liberation Serif"/>
              </w:rPr>
              <w:t>5</w:t>
            </w:r>
          </w:p>
        </w:tc>
        <w:tc>
          <w:tcPr>
            <w:tcW w:w="12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28"/>
              <w:jc w:val="center"/>
              <w:rPr>
                <w:rFonts w:ascii="Liberation Serif" w:hAnsi="Liberation Serif"/>
              </w:rPr>
            </w:pPr>
            <w:r>
              <w:rPr>
                <w:rFonts w:ascii="Liberation Serif" w:hAnsi="Liberation Serif"/>
              </w:rPr>
              <w:t>6</w:t>
            </w:r>
          </w:p>
        </w:tc>
      </w:tr>
      <w:tr>
        <w:trPr/>
        <w:tc>
          <w:tcPr>
            <w:tcW w:w="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Liberation Serif" w:hAnsi="Liberation Serif"/>
              </w:rPr>
            </w:pPr>
            <w:r>
              <w:rPr>
                <w:rFonts w:ascii="Liberation Serif" w:hAnsi="Liberation Serif"/>
              </w:rPr>
              <w:t>1.</w:t>
            </w:r>
          </w:p>
        </w:tc>
        <w:tc>
          <w:tcPr>
            <w:tcW w:w="3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rPr>
                <w:rFonts w:ascii="Liberation Serif" w:hAnsi="Liberation Serif"/>
              </w:rPr>
            </w:pPr>
            <w:r>
              <w:rPr>
                <w:rFonts w:ascii="Liberation Serif" w:hAnsi="Liberation Serif"/>
              </w:rPr>
              <w:t>Объем муниципального долга, млн. рублей</w:t>
            </w:r>
          </w:p>
        </w:tc>
        <w:tc>
          <w:tcPr>
            <w:tcW w:w="1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42,7</w:t>
            </w:r>
          </w:p>
        </w:tc>
        <w:tc>
          <w:tcPr>
            <w:tcW w:w="13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54,1</w:t>
            </w:r>
          </w:p>
        </w:tc>
        <w:tc>
          <w:tcPr>
            <w:tcW w:w="1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43,2</w:t>
            </w:r>
          </w:p>
        </w:tc>
        <w:tc>
          <w:tcPr>
            <w:tcW w:w="12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35,1</w:t>
            </w:r>
          </w:p>
        </w:tc>
      </w:tr>
      <w:tr>
        <w:trPr/>
        <w:tc>
          <w:tcPr>
            <w:tcW w:w="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Liberation Serif" w:hAnsi="Liberation Serif"/>
              </w:rPr>
            </w:pPr>
            <w:r>
              <w:rPr>
                <w:rFonts w:ascii="Liberation Serif" w:hAnsi="Liberation Serif"/>
              </w:rPr>
              <w:t>2.</w:t>
            </w:r>
          </w:p>
        </w:tc>
        <w:tc>
          <w:tcPr>
            <w:tcW w:w="3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rPr>
                <w:rFonts w:ascii="Liberation Serif" w:hAnsi="Liberation Serif"/>
              </w:rPr>
            </w:pPr>
            <w:r>
              <w:rPr>
                <w:rFonts w:ascii="Liberation Serif" w:hAnsi="Liberation Serif"/>
              </w:rPr>
              <w:t>Прирост муниципального долга, млн. рублей</w:t>
            </w:r>
          </w:p>
        </w:tc>
        <w:tc>
          <w:tcPr>
            <w:tcW w:w="1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8,1</w:t>
            </w:r>
          </w:p>
        </w:tc>
        <w:tc>
          <w:tcPr>
            <w:tcW w:w="13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11,3</w:t>
            </w:r>
          </w:p>
        </w:tc>
        <w:tc>
          <w:tcPr>
            <w:tcW w:w="1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-10,9</w:t>
            </w:r>
          </w:p>
        </w:tc>
        <w:tc>
          <w:tcPr>
            <w:tcW w:w="12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lang w:val="en-US"/>
              </w:rPr>
              <w:t>–</w:t>
            </w:r>
            <w:r>
              <w:rPr>
                <w:rFonts w:ascii="Liberation Serif" w:hAnsi="Liberation Serif"/>
              </w:rPr>
              <w:t>8,1</w:t>
            </w:r>
          </w:p>
        </w:tc>
      </w:tr>
      <w:tr>
        <w:trPr/>
        <w:tc>
          <w:tcPr>
            <w:tcW w:w="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Liberation Serif" w:hAnsi="Liberation Serif"/>
              </w:rPr>
            </w:pPr>
            <w:r>
              <w:rPr>
                <w:rFonts w:ascii="Liberation Serif" w:hAnsi="Liberation Serif"/>
              </w:rPr>
              <w:t>3.</w:t>
            </w:r>
          </w:p>
        </w:tc>
        <w:tc>
          <w:tcPr>
            <w:tcW w:w="3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rPr>
                <w:rFonts w:ascii="Liberation Serif" w:hAnsi="Liberation Serif"/>
              </w:rPr>
            </w:pPr>
            <w:r>
              <w:rPr>
                <w:rFonts w:ascii="Liberation Serif" w:hAnsi="Liberation Serif"/>
              </w:rPr>
              <w:t>Темпы роста муниципального долга, процентов</w:t>
            </w:r>
          </w:p>
        </w:tc>
        <w:tc>
          <w:tcPr>
            <w:tcW w:w="1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23,2</w:t>
            </w:r>
          </w:p>
        </w:tc>
        <w:tc>
          <w:tcPr>
            <w:tcW w:w="13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26,4</w:t>
            </w:r>
          </w:p>
        </w:tc>
        <w:tc>
          <w:tcPr>
            <w:tcW w:w="1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79,9</w:t>
            </w:r>
          </w:p>
        </w:tc>
        <w:tc>
          <w:tcPr>
            <w:tcW w:w="12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81,3</w:t>
            </w:r>
          </w:p>
        </w:tc>
      </w:tr>
      <w:tr>
        <w:trPr/>
        <w:tc>
          <w:tcPr>
            <w:tcW w:w="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Liberation Serif" w:hAnsi="Liberation Serif"/>
              </w:rPr>
            </w:pPr>
            <w:r>
              <w:rPr>
                <w:rFonts w:ascii="Liberation Serif" w:hAnsi="Liberation Serif"/>
              </w:rPr>
              <w:t>4.</w:t>
            </w:r>
          </w:p>
        </w:tc>
        <w:tc>
          <w:tcPr>
            <w:tcW w:w="3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rPr>
                <w:rFonts w:ascii="Liberation Serif" w:hAnsi="Liberation Serif"/>
              </w:rPr>
            </w:pPr>
            <w:r>
              <w:rPr>
                <w:rFonts w:ascii="Liberation Serif" w:hAnsi="Liberation Serif"/>
              </w:rPr>
              <w:t>Долговая нагрузка (отношение объема муниципального долга к объему доходов бюджета Камышловского городского округа без учета безвозмездных поступлений), процентов</w:t>
            </w:r>
          </w:p>
        </w:tc>
        <w:tc>
          <w:tcPr>
            <w:tcW w:w="1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13,8</w:t>
            </w:r>
          </w:p>
        </w:tc>
        <w:tc>
          <w:tcPr>
            <w:tcW w:w="13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15,9</w:t>
            </w:r>
          </w:p>
        </w:tc>
        <w:tc>
          <w:tcPr>
            <w:tcW w:w="13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13,5</w:t>
            </w:r>
          </w:p>
        </w:tc>
        <w:tc>
          <w:tcPr>
            <w:tcW w:w="12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709" w:leader="none"/>
                <w:tab w:val="left" w:pos="2694" w:leader="none"/>
              </w:tabs>
              <w:jc w:val="center"/>
              <w:rPr>
                <w:rFonts w:ascii="Liberation Serif" w:hAnsi="Liberation Serif"/>
              </w:rPr>
            </w:pPr>
            <w:r>
              <w:rPr>
                <w:rFonts w:ascii="Liberation Serif" w:hAnsi="Liberation Serif"/>
              </w:rPr>
              <w:t>10,0</w:t>
            </w:r>
          </w:p>
        </w:tc>
      </w:tr>
    </w:tbl>
    <w:p>
      <w:pPr>
        <w:pStyle w:val="Normal"/>
        <w:tabs>
          <w:tab w:val="clear" w:pos="708"/>
          <w:tab w:val="left" w:pos="709" w:leader="none"/>
          <w:tab w:val="left" w:pos="2694" w:leader="none"/>
        </w:tabs>
        <w:rPr>
          <w:rFonts w:ascii="Liberation Serif" w:hAnsi="Liberation Serif"/>
          <w:sz w:val="28"/>
          <w:szCs w:val="28"/>
        </w:rPr>
      </w:pPr>
      <w:r>
        <w:rPr>
          <w:rFonts w:ascii="Liberation Serif" w:hAnsi="Liberation Serif"/>
          <w:sz w:val="28"/>
          <w:szCs w:val="28"/>
        </w:rPr>
      </w:r>
    </w:p>
    <w:p>
      <w:pPr>
        <w:pStyle w:val="Normal"/>
        <w:tabs>
          <w:tab w:val="clear" w:pos="708"/>
          <w:tab w:val="left" w:pos="709" w:leader="none"/>
          <w:tab w:val="left" w:pos="2694" w:leader="none"/>
        </w:tabs>
        <w:ind w:firstLine="709"/>
        <w:jc w:val="both"/>
        <w:rPr>
          <w:rFonts w:ascii="Liberation Serif" w:hAnsi="Liberation Serif"/>
          <w:sz w:val="28"/>
          <w:szCs w:val="28"/>
        </w:rPr>
      </w:pPr>
      <w:r>
        <w:rPr>
          <w:rFonts w:ascii="Liberation Serif" w:hAnsi="Liberation Serif"/>
          <w:sz w:val="28"/>
          <w:szCs w:val="28"/>
        </w:rPr>
        <w:t>В целях снижения рисков возникновения кризисных ситуаций при исполнении бюджета Камышловского городского округа, сохранения финансовой устойчивости и сбалансированности бюджета Камышловского городского округа осуществляется мероприятия по управлению муниципальным долгом, в том числе:</w:t>
      </w:r>
    </w:p>
    <w:p>
      <w:pPr>
        <w:pStyle w:val="Normal"/>
        <w:tabs>
          <w:tab w:val="clear" w:pos="708"/>
          <w:tab w:val="left" w:pos="709" w:leader="none"/>
          <w:tab w:val="left" w:pos="2694" w:leader="none"/>
        </w:tabs>
        <w:ind w:firstLine="709"/>
        <w:jc w:val="both"/>
        <w:rPr>
          <w:rFonts w:ascii="Liberation Serif" w:hAnsi="Liberation Serif"/>
          <w:sz w:val="28"/>
          <w:szCs w:val="28"/>
        </w:rPr>
      </w:pPr>
      <w:r>
        <w:rPr>
          <w:rFonts w:ascii="Liberation Serif" w:hAnsi="Liberation Serif"/>
          <w:sz w:val="28"/>
          <w:szCs w:val="28"/>
        </w:rPr>
        <w:t>1) сдерживание роста муниципального долга Камышловского городского округа;</w:t>
      </w:r>
    </w:p>
    <w:p>
      <w:pPr>
        <w:pStyle w:val="Normal"/>
        <w:tabs>
          <w:tab w:val="clear" w:pos="708"/>
          <w:tab w:val="left" w:pos="709" w:leader="none"/>
          <w:tab w:val="left" w:pos="2694" w:leader="none"/>
        </w:tabs>
        <w:ind w:firstLine="709"/>
        <w:jc w:val="both"/>
        <w:rPr>
          <w:rFonts w:ascii="Liberation Serif" w:hAnsi="Liberation Serif"/>
          <w:sz w:val="28"/>
          <w:szCs w:val="28"/>
        </w:rPr>
      </w:pPr>
      <w:r>
        <w:rPr>
          <w:rFonts w:ascii="Liberation Serif" w:hAnsi="Liberation Serif"/>
          <w:sz w:val="28"/>
          <w:szCs w:val="28"/>
        </w:rPr>
        <w:t>2) безусловное выполнение долговых обязательств Камышловского городского округа.</w:t>
      </w:r>
    </w:p>
    <w:p>
      <w:pPr>
        <w:pStyle w:val="Normal"/>
        <w:tabs>
          <w:tab w:val="clear" w:pos="708"/>
          <w:tab w:val="left" w:pos="709" w:leader="none"/>
          <w:tab w:val="left" w:pos="2694" w:leader="none"/>
        </w:tabs>
        <w:ind w:firstLine="709"/>
        <w:jc w:val="both"/>
        <w:rPr>
          <w:rFonts w:ascii="Liberation Serif" w:hAnsi="Liberation Serif"/>
          <w:sz w:val="28"/>
          <w:szCs w:val="28"/>
        </w:rPr>
      </w:pPr>
      <w:r>
        <w:rPr>
          <w:rFonts w:ascii="Liberation Serif" w:hAnsi="Liberation Serif"/>
          <w:sz w:val="28"/>
          <w:szCs w:val="28"/>
        </w:rPr>
        <w:t>Долговая нагрузка сохранена на уровне ниже 20% от суммы доходов бюджета Камышловского городского округа без учета безвозмездных поступлений (2015 год – 13,8%, 2016 год – 15,9%, 2017 год – 13,5%, 2018 год – 10,0%).</w:t>
      </w:r>
    </w:p>
    <w:p>
      <w:pPr>
        <w:pStyle w:val="Normal"/>
        <w:tabs>
          <w:tab w:val="clear" w:pos="708"/>
          <w:tab w:val="left" w:pos="709" w:leader="none"/>
          <w:tab w:val="left" w:pos="2694" w:leader="none"/>
        </w:tabs>
        <w:ind w:firstLine="709"/>
        <w:jc w:val="both"/>
        <w:rPr>
          <w:rFonts w:ascii="Liberation Serif" w:hAnsi="Liberation Serif"/>
          <w:sz w:val="28"/>
          <w:szCs w:val="28"/>
        </w:rPr>
      </w:pPr>
      <w:r>
        <w:rPr>
          <w:rFonts w:ascii="Liberation Serif" w:hAnsi="Liberation Serif"/>
          <w:sz w:val="28"/>
          <w:szCs w:val="28"/>
        </w:rPr>
        <w:t xml:space="preserve">Доля расходов на обслуживание муниципального долга Камышловского городского округа в общей сумме расходов бюджета Камышловского городского округа составила в 2015 году – 0,003%, в 2016 году – 0,02%, </w:t>
        <w:tab/>
        <w:t>в 2017 году – 0,02%, в 2018 году – 0,01%.</w:t>
      </w:r>
    </w:p>
    <w:p>
      <w:pPr>
        <w:pStyle w:val="Normal"/>
        <w:tabs>
          <w:tab w:val="clear" w:pos="708"/>
          <w:tab w:val="left" w:pos="709" w:leader="none"/>
          <w:tab w:val="left" w:pos="2694" w:leader="none"/>
        </w:tabs>
        <w:ind w:firstLine="709"/>
        <w:jc w:val="both"/>
        <w:rPr>
          <w:rFonts w:ascii="Liberation Serif" w:hAnsi="Liberation Serif"/>
          <w:sz w:val="28"/>
          <w:szCs w:val="28"/>
        </w:rPr>
      </w:pPr>
      <w:r>
        <w:rPr>
          <w:rFonts w:ascii="Liberation Serif" w:hAnsi="Liberation Serif"/>
          <w:sz w:val="28"/>
          <w:szCs w:val="28"/>
        </w:rPr>
        <w:t>Благодаря принимаемым мерам удалось существенно снизить дефицит бюджета Камышловского городского округа. Так, при запланированном объеме дефицита на 2015 год в сумме 69,0 млн. рублей фактически сложился профицит бюджета Камышловского городского округа и составил 53,8 млн. рублей, в 2016 году при запланированном объеме дефицита в сумме 131,8 млн. рублей фактический профицит бюджета Камышловского городского округа составил 44,3 млн. рублей, при запланированном объеме дефицита на 2017 году в сумме 161,9 млн. рублей фактический дефицит бюджета Камышловского городского округа составил 134,7 млн. рублей, в 2018 году – 37,3 млн. рублей и 0,6 млн.рублей соответственно.</w:t>
      </w:r>
    </w:p>
    <w:p>
      <w:pPr>
        <w:pStyle w:val="Normal"/>
        <w:tabs>
          <w:tab w:val="clear" w:pos="708"/>
          <w:tab w:val="left" w:pos="709" w:leader="none"/>
          <w:tab w:val="left" w:pos="2694" w:leader="none"/>
        </w:tabs>
        <w:ind w:firstLine="709"/>
        <w:jc w:val="both"/>
        <w:rPr>
          <w:rFonts w:ascii="Liberation Serif" w:hAnsi="Liberation Serif"/>
          <w:bCs w:val="false"/>
          <w:sz w:val="28"/>
          <w:szCs w:val="28"/>
        </w:rPr>
      </w:pPr>
      <w:r>
        <w:rPr>
          <w:rFonts w:ascii="Liberation Serif" w:hAnsi="Liberation Serif"/>
          <w:bCs w:val="false"/>
          <w:sz w:val="28"/>
          <w:szCs w:val="28"/>
        </w:rPr>
      </w:r>
    </w:p>
    <w:p>
      <w:pPr>
        <w:pStyle w:val="Normal"/>
        <w:jc w:val="center"/>
        <w:rPr>
          <w:rFonts w:ascii="Liberation Serif" w:hAnsi="Liberation Serif"/>
          <w:b/>
          <w:b/>
          <w:bCs w:val="false"/>
          <w:iCs/>
          <w:sz w:val="28"/>
          <w:szCs w:val="28"/>
        </w:rPr>
      </w:pPr>
      <w:r>
        <w:rPr>
          <w:rFonts w:ascii="Liberation Serif" w:hAnsi="Liberation Serif"/>
          <w:b/>
          <w:bCs w:val="false"/>
          <w:iCs/>
          <w:sz w:val="28"/>
          <w:szCs w:val="28"/>
        </w:rPr>
        <w:t>Глава 3. Основные факторы, определяющие характер</w:t>
      </w:r>
    </w:p>
    <w:p>
      <w:pPr>
        <w:pStyle w:val="Normal"/>
        <w:jc w:val="center"/>
        <w:rPr>
          <w:rFonts w:ascii="Liberation Serif" w:hAnsi="Liberation Serif"/>
          <w:b/>
          <w:b/>
          <w:bCs w:val="false"/>
          <w:iCs/>
          <w:sz w:val="28"/>
          <w:szCs w:val="28"/>
        </w:rPr>
      </w:pPr>
      <w:r>
        <w:rPr>
          <w:rFonts w:ascii="Liberation Serif" w:hAnsi="Liberation Serif"/>
          <w:b/>
          <w:bCs w:val="false"/>
          <w:iCs/>
          <w:sz w:val="28"/>
          <w:szCs w:val="28"/>
        </w:rPr>
        <w:t xml:space="preserve">и направления долговой политики </w:t>
      </w:r>
    </w:p>
    <w:p>
      <w:pPr>
        <w:pStyle w:val="Normal"/>
        <w:jc w:val="center"/>
        <w:rPr>
          <w:rFonts w:ascii="Liberation Serif" w:hAnsi="Liberation Serif"/>
          <w:b/>
          <w:b/>
          <w:bCs w:val="false"/>
          <w:iCs/>
          <w:sz w:val="28"/>
          <w:szCs w:val="28"/>
        </w:rPr>
      </w:pPr>
      <w:r>
        <w:rPr>
          <w:rFonts w:ascii="Liberation Serif" w:hAnsi="Liberation Serif"/>
          <w:b/>
          <w:bCs w:val="false"/>
          <w:iCs/>
          <w:sz w:val="28"/>
          <w:szCs w:val="28"/>
        </w:rPr>
      </w:r>
    </w:p>
    <w:p>
      <w:pPr>
        <w:pStyle w:val="Normal"/>
        <w:ind w:firstLine="540"/>
        <w:jc w:val="both"/>
        <w:rPr>
          <w:rFonts w:ascii="Liberation Serif" w:hAnsi="Liberation Serif" w:cs="Liberation Serif"/>
          <w:bCs w:val="false"/>
          <w:sz w:val="28"/>
          <w:szCs w:val="28"/>
        </w:rPr>
      </w:pPr>
      <w:r>
        <w:rPr>
          <w:rFonts w:cs="Liberation Serif" w:ascii="Liberation Serif" w:hAnsi="Liberation Serif"/>
          <w:bCs w:val="false"/>
          <w:sz w:val="28"/>
          <w:szCs w:val="28"/>
        </w:rPr>
        <w:t>Долговая политика в 2020</w:t>
      </w:r>
      <w:r>
        <w:rPr>
          <w:rFonts w:ascii="Liberation Serif" w:hAnsi="Liberation Serif"/>
          <w:bCs w:val="false"/>
          <w:sz w:val="28"/>
          <w:szCs w:val="28"/>
        </w:rPr>
        <w:t>–</w:t>
      </w:r>
      <w:r>
        <w:rPr>
          <w:rFonts w:cs="Liberation Serif" w:ascii="Liberation Serif" w:hAnsi="Liberation Serif"/>
          <w:bCs w:val="false"/>
          <w:sz w:val="28"/>
          <w:szCs w:val="28"/>
        </w:rPr>
        <w:t>2022 годах будет направлена на безусловное выполнение обязательств Камышловского городского округа, соблюдение норм и ограничений, установленных Бюджетным кодексом Российской Федерации, и нацелена на поддержание долговой нагрузки на бюджет Камышловского городского округа на уровне, относящем Камышловский городской округ к муниципальным образованиям Свердловской области с высокой долговой устойчивостью.</w:t>
      </w:r>
    </w:p>
    <w:p>
      <w:pPr>
        <w:pStyle w:val="Normal"/>
        <w:ind w:firstLine="540"/>
        <w:jc w:val="both"/>
        <w:rPr>
          <w:rFonts w:ascii="Liberation Serif" w:hAnsi="Liberation Serif" w:cs="Liberation Serif"/>
          <w:bCs w:val="false"/>
          <w:sz w:val="28"/>
          <w:szCs w:val="28"/>
        </w:rPr>
      </w:pPr>
      <w:r>
        <w:rPr>
          <w:rFonts w:cs="Liberation Serif" w:ascii="Liberation Serif" w:hAnsi="Liberation Serif"/>
          <w:bCs w:val="false"/>
          <w:sz w:val="28"/>
          <w:szCs w:val="28"/>
        </w:rPr>
        <w:t>Реализация долговой политики будет осуществляться в условиях продолжающихся ограничительных мер в отношении Российской Федерации со стороны зарубежных государств, что создает риски для финансовой стабильности внутри страны. Поэтому долговая политика будет направлена на эффективное управление муниципальным долгом, предполагающее снижение уровня долговой нагрузки на бюджет Камышловского городского округа, необходимость обслуживания и исполнения обязательств независимо от влияния любых макроэкономических показателей и возможного ухудшения конъюнктуры на финансовом рынке.</w:t>
      </w:r>
    </w:p>
    <w:p>
      <w:pPr>
        <w:pStyle w:val="Normal"/>
        <w:jc w:val="center"/>
        <w:rPr>
          <w:rFonts w:ascii="Liberation Serif" w:hAnsi="Liberation Serif"/>
          <w:b/>
          <w:b/>
          <w:bCs w:val="false"/>
          <w:iCs/>
          <w:sz w:val="28"/>
          <w:szCs w:val="28"/>
        </w:rPr>
      </w:pPr>
      <w:r>
        <w:rPr>
          <w:rFonts w:ascii="Liberation Serif" w:hAnsi="Liberation Serif"/>
          <w:b/>
          <w:bCs w:val="false"/>
          <w:iCs/>
          <w:sz w:val="28"/>
          <w:szCs w:val="28"/>
        </w:rPr>
      </w:r>
    </w:p>
    <w:p>
      <w:pPr>
        <w:pStyle w:val="Normal"/>
        <w:jc w:val="center"/>
        <w:rPr>
          <w:rFonts w:ascii="Liberation Serif" w:hAnsi="Liberation Serif"/>
          <w:b/>
          <w:b/>
          <w:bCs w:val="false"/>
          <w:iCs/>
          <w:sz w:val="28"/>
          <w:szCs w:val="28"/>
        </w:rPr>
      </w:pPr>
      <w:r>
        <w:rPr>
          <w:rFonts w:ascii="Liberation Serif" w:hAnsi="Liberation Serif"/>
          <w:b/>
          <w:bCs w:val="false"/>
          <w:iCs/>
          <w:sz w:val="28"/>
          <w:szCs w:val="28"/>
        </w:rPr>
        <w:t xml:space="preserve">Глава 4. Цели и задачи долговой политики </w:t>
      </w:r>
    </w:p>
    <w:p>
      <w:pPr>
        <w:pStyle w:val="Normal"/>
        <w:jc w:val="both"/>
        <w:rPr>
          <w:rFonts w:ascii="Liberation Serif" w:hAnsi="Liberation Serif"/>
          <w:bCs w:val="false"/>
          <w:iCs/>
          <w:sz w:val="28"/>
          <w:szCs w:val="28"/>
        </w:rPr>
      </w:pPr>
      <w:r>
        <w:rPr>
          <w:rFonts w:ascii="Liberation Serif" w:hAnsi="Liberation Serif"/>
          <w:bCs w:val="false"/>
          <w:iCs/>
          <w:sz w:val="28"/>
          <w:szCs w:val="28"/>
        </w:rPr>
      </w:r>
    </w:p>
    <w:p>
      <w:pPr>
        <w:pStyle w:val="Normal"/>
        <w:tabs>
          <w:tab w:val="clear" w:pos="708"/>
          <w:tab w:val="left" w:pos="709" w:leader="none"/>
        </w:tabs>
        <w:ind w:firstLine="709"/>
        <w:jc w:val="both"/>
        <w:rPr>
          <w:rFonts w:ascii="Liberation Serif" w:hAnsi="Liberation Serif"/>
          <w:bCs w:val="false"/>
          <w:iCs/>
          <w:sz w:val="28"/>
          <w:szCs w:val="28"/>
        </w:rPr>
      </w:pPr>
      <w:r>
        <w:rPr>
          <w:rFonts w:ascii="Liberation Serif" w:hAnsi="Liberation Serif"/>
          <w:bCs w:val="false"/>
          <w:iCs/>
          <w:sz w:val="28"/>
          <w:szCs w:val="28"/>
        </w:rPr>
        <w:t>В предстоящем периоде целью долговой политики является сохранение финансовой устойчивости и сбалансированности бюджета Камышловского городского округа, осуществление заимствований в объемах, необходимых для решения поставленных социально-экономических задач.</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 xml:space="preserve">Основными источниками заемных средств, привлекаемых в целях финансирования дефицита бюджета Камышловского городского округа, а также в случае возникновения временного кассового разрыва при исполнении бюджета в течение финансового года, по-прежнему рассматриваются исключительно привлечение заемных средств из областного бюджета. </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Целями долговой политики на среднесрочный период являются:</w:t>
      </w:r>
    </w:p>
    <w:p>
      <w:pPr>
        <w:pStyle w:val="Normal"/>
        <w:tabs>
          <w:tab w:val="clear" w:pos="708"/>
          <w:tab w:val="left" w:pos="709" w:leader="none"/>
          <w:tab w:val="left" w:pos="2694" w:leader="none"/>
        </w:tabs>
        <w:ind w:firstLine="709"/>
        <w:jc w:val="both"/>
        <w:rPr>
          <w:rFonts w:ascii="Liberation Serif" w:hAnsi="Liberation Serif"/>
          <w:bCs w:val="false"/>
          <w:sz w:val="28"/>
          <w:szCs w:val="28"/>
        </w:rPr>
      </w:pPr>
      <w:r>
        <w:rPr>
          <w:rFonts w:ascii="Liberation Serif" w:hAnsi="Liberation Serif"/>
          <w:bCs w:val="false"/>
          <w:sz w:val="28"/>
          <w:szCs w:val="28"/>
        </w:rPr>
        <w:t xml:space="preserve">сохранение объема муниципального долга Камышловского городского округа на безопасном уровне и </w:t>
      </w:r>
      <w:r>
        <w:rPr>
          <w:rFonts w:eastAsia="Calibri" w:ascii="Liberation Serif" w:hAnsi="Liberation Serif"/>
          <w:bCs w:val="false"/>
          <w:sz w:val="28"/>
          <w:szCs w:val="28"/>
          <w:lang w:eastAsia="en-US"/>
        </w:rPr>
        <w:t>обеспечение доли общего объема долговых обязательств не более 50% доходов бюджета Камышловского городского округа без учета безвозмездных поступлений;</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sz w:val="28"/>
          <w:szCs w:val="28"/>
        </w:rPr>
        <w:t>равномерное распределение долговой нагрузки по годам;</w:t>
      </w:r>
    </w:p>
    <w:p>
      <w:pPr>
        <w:pStyle w:val="Normal"/>
        <w:ind w:firstLine="709"/>
        <w:jc w:val="both"/>
        <w:rPr>
          <w:rFonts w:ascii="Liberation Serif" w:hAnsi="Liberation Serif" w:eastAsia="Calibri"/>
          <w:bCs w:val="false"/>
          <w:sz w:val="28"/>
          <w:szCs w:val="28"/>
          <w:lang w:eastAsia="en-US"/>
        </w:rPr>
      </w:pPr>
      <w:r>
        <w:rPr>
          <w:rFonts w:eastAsia="Calibri" w:ascii="Liberation Serif" w:hAnsi="Liberation Serif"/>
          <w:bCs w:val="false"/>
          <w:sz w:val="28"/>
          <w:szCs w:val="28"/>
          <w:lang w:eastAsia="en-US"/>
        </w:rPr>
        <w:t>обеспечение сохранения дефицита бюджета Камышловского городского округа на уровне не более 10% от суммы доходов бюджета без учета безвозмездных поступлений;</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безусловное выполнение долговых обязательств;</w:t>
      </w:r>
    </w:p>
    <w:p>
      <w:pPr>
        <w:pStyle w:val="Normal"/>
        <w:tabs>
          <w:tab w:val="clear" w:pos="708"/>
          <w:tab w:val="left" w:pos="709" w:leader="none"/>
          <w:tab w:val="left" w:pos="2694" w:leader="none"/>
        </w:tabs>
        <w:ind w:firstLine="709"/>
        <w:jc w:val="both"/>
        <w:rPr/>
      </w:pPr>
      <w:r>
        <w:rPr>
          <w:rFonts w:ascii="Liberation Serif" w:hAnsi="Liberation Serif"/>
          <w:bCs w:val="false"/>
          <w:sz w:val="28"/>
          <w:szCs w:val="28"/>
        </w:rPr>
        <w:t xml:space="preserve">соблюдение ограничений, установленных Бюджетным </w:t>
      </w:r>
      <w:hyperlink r:id="rId3">
        <w:r>
          <w:rPr>
            <w:rStyle w:val="ListLabel1"/>
            <w:rFonts w:ascii="Liberation Serif" w:hAnsi="Liberation Serif"/>
            <w:bCs w:val="false"/>
            <w:sz w:val="28"/>
            <w:szCs w:val="28"/>
          </w:rPr>
          <w:t>кодексом</w:t>
        </w:r>
      </w:hyperlink>
      <w:r>
        <w:rPr>
          <w:rFonts w:ascii="Liberation Serif" w:hAnsi="Liberation Serif"/>
          <w:bCs w:val="false"/>
          <w:sz w:val="28"/>
          <w:szCs w:val="28"/>
        </w:rPr>
        <w:t xml:space="preserve"> Российской Федерации.</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Для достижения поставленных целей необходимо решить следующие задачи:</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поддержание умеренной долговой нагрузки на бюджет Камышловского городского округа;</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 xml:space="preserve">равномерное распределение платежей по долговым обязательствам по годам; </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сохранение экономически безопасного уровня рыночных обязательств;</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формирование и поддержание положительного кредитного рейтинга Камышловского городского округа;</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обеспечение доступности информации о муниципальном долге Камышловского городского округа.</w:t>
      </w:r>
    </w:p>
    <w:p>
      <w:pPr>
        <w:pStyle w:val="Normal"/>
        <w:tabs>
          <w:tab w:val="clear" w:pos="708"/>
          <w:tab w:val="left" w:pos="709" w:leader="none"/>
          <w:tab w:val="left" w:pos="2694" w:leader="none"/>
        </w:tabs>
        <w:jc w:val="both"/>
        <w:rPr>
          <w:rFonts w:ascii="Liberation Serif" w:hAnsi="Liberation Serif"/>
          <w:bCs w:val="false"/>
          <w:iCs/>
          <w:sz w:val="28"/>
          <w:szCs w:val="28"/>
        </w:rPr>
      </w:pPr>
      <w:r>
        <w:rPr>
          <w:rFonts w:ascii="Liberation Serif" w:hAnsi="Liberation Serif"/>
          <w:bCs w:val="false"/>
          <w:iCs/>
          <w:sz w:val="28"/>
          <w:szCs w:val="28"/>
        </w:rPr>
      </w:r>
    </w:p>
    <w:p>
      <w:pPr>
        <w:pStyle w:val="Normal"/>
        <w:tabs>
          <w:tab w:val="clear" w:pos="708"/>
          <w:tab w:val="left" w:pos="709" w:leader="none"/>
          <w:tab w:val="left" w:pos="2694" w:leader="none"/>
        </w:tabs>
        <w:jc w:val="center"/>
        <w:rPr>
          <w:rFonts w:ascii="Liberation Serif" w:hAnsi="Liberation Serif"/>
          <w:b/>
          <w:b/>
          <w:bCs w:val="false"/>
          <w:iCs/>
          <w:sz w:val="28"/>
          <w:szCs w:val="28"/>
        </w:rPr>
      </w:pPr>
      <w:r>
        <w:rPr>
          <w:rFonts w:ascii="Liberation Serif" w:hAnsi="Liberation Serif"/>
          <w:b/>
          <w:bCs w:val="false"/>
          <w:iCs/>
          <w:sz w:val="28"/>
          <w:szCs w:val="28"/>
        </w:rPr>
        <w:t xml:space="preserve">Глава 5. Инструменты реализации долговой политики </w:t>
      </w:r>
    </w:p>
    <w:p>
      <w:pPr>
        <w:pStyle w:val="Normal"/>
        <w:tabs>
          <w:tab w:val="clear" w:pos="708"/>
          <w:tab w:val="left" w:pos="709" w:leader="none"/>
          <w:tab w:val="left" w:pos="2694" w:leader="none"/>
        </w:tabs>
        <w:jc w:val="center"/>
        <w:rPr>
          <w:rFonts w:ascii="Liberation Serif" w:hAnsi="Liberation Serif"/>
          <w:b/>
          <w:b/>
          <w:bCs w:val="false"/>
          <w:iCs/>
          <w:sz w:val="28"/>
          <w:szCs w:val="28"/>
        </w:rPr>
      </w:pPr>
      <w:r>
        <w:rPr>
          <w:rFonts w:ascii="Liberation Serif" w:hAnsi="Liberation Serif"/>
          <w:b/>
          <w:bCs w:val="false"/>
          <w:iCs/>
          <w:sz w:val="28"/>
          <w:szCs w:val="28"/>
        </w:rPr>
      </w:r>
    </w:p>
    <w:p>
      <w:pPr>
        <w:pStyle w:val="Normal"/>
        <w:tabs>
          <w:tab w:val="clear" w:pos="708"/>
          <w:tab w:val="left" w:pos="709" w:leader="none"/>
          <w:tab w:val="left" w:pos="2694" w:leader="none"/>
        </w:tabs>
        <w:jc w:val="both"/>
        <w:rPr>
          <w:rFonts w:ascii="Liberation Serif" w:hAnsi="Liberation Serif"/>
          <w:bCs w:val="false"/>
          <w:iCs/>
          <w:sz w:val="28"/>
          <w:szCs w:val="28"/>
        </w:rPr>
      </w:pPr>
      <w:r>
        <w:rPr>
          <w:rFonts w:ascii="Liberation Serif" w:hAnsi="Liberation Serif"/>
          <w:bCs w:val="false"/>
          <w:iCs/>
          <w:sz w:val="28"/>
          <w:szCs w:val="28"/>
        </w:rPr>
        <w:tab/>
        <w:t>Основными инструментами реализации долговой политики являются:</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направление налоговых и неналоговых доходов, полученных в ходе исполнения бюджета Камышловского городского округа сверх утвержденного Решением Думы Камышловского городского округа о бюджете Камышловского городского округа на очередной финансовый год и плановый период объема указанных доходов, на досрочное погашение долговых обязательств;</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принятие решений о привлечении заимствованных средств исходя из фактического исполнения бюджета Камышловского городского округа, потребности в привлечении заемных средств и ситуации на финансовом рынке;</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 xml:space="preserve">использование механизма привлечения бюджетных кредитов за счет средств областного бюджета на пополнение остатков средств на счете бюджета и покрытия дефицита бюджета; </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обеспечение своевременного и полного учета долговых обязательств.</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r>
    </w:p>
    <w:p>
      <w:pPr>
        <w:pStyle w:val="Normal"/>
        <w:spacing w:lineRule="auto" w:line="276" w:before="0" w:after="200"/>
        <w:rPr>
          <w:rFonts w:ascii="Liberation Serif" w:hAnsi="Liberation Serif"/>
          <w:b/>
          <w:b/>
          <w:bCs w:val="false"/>
          <w:iCs/>
          <w:sz w:val="28"/>
          <w:szCs w:val="28"/>
        </w:rPr>
      </w:pPr>
      <w:r>
        <w:rPr>
          <w:rFonts w:ascii="Liberation Serif" w:hAnsi="Liberation Serif"/>
          <w:b/>
          <w:bCs w:val="false"/>
          <w:iCs/>
          <w:sz w:val="28"/>
          <w:szCs w:val="28"/>
        </w:rPr>
      </w:r>
      <w:r>
        <w:br w:type="page"/>
      </w:r>
    </w:p>
    <w:p>
      <w:pPr>
        <w:pStyle w:val="Normal"/>
        <w:tabs>
          <w:tab w:val="clear" w:pos="708"/>
          <w:tab w:val="left" w:pos="709" w:leader="none"/>
          <w:tab w:val="left" w:pos="2694" w:leader="none"/>
        </w:tabs>
        <w:jc w:val="center"/>
        <w:rPr>
          <w:rFonts w:ascii="Liberation Serif" w:hAnsi="Liberation Serif"/>
          <w:b/>
          <w:b/>
          <w:bCs w:val="false"/>
          <w:iCs/>
          <w:sz w:val="28"/>
          <w:szCs w:val="28"/>
        </w:rPr>
      </w:pPr>
      <w:r>
        <w:rPr>
          <w:rFonts w:ascii="Liberation Serif" w:hAnsi="Liberation Serif"/>
          <w:b/>
          <w:bCs w:val="false"/>
          <w:iCs/>
          <w:sz w:val="28"/>
          <w:szCs w:val="28"/>
        </w:rPr>
        <w:t xml:space="preserve">Глава 6. Анализ рисков для бюджета, возникающих в процессе </w:t>
      </w:r>
    </w:p>
    <w:p>
      <w:pPr>
        <w:pStyle w:val="Normal"/>
        <w:tabs>
          <w:tab w:val="clear" w:pos="708"/>
          <w:tab w:val="left" w:pos="709" w:leader="none"/>
          <w:tab w:val="left" w:pos="2694" w:leader="none"/>
        </w:tabs>
        <w:jc w:val="center"/>
        <w:rPr>
          <w:rFonts w:ascii="Liberation Serif" w:hAnsi="Liberation Serif"/>
          <w:b/>
          <w:b/>
          <w:bCs w:val="false"/>
          <w:iCs/>
          <w:sz w:val="28"/>
          <w:szCs w:val="28"/>
        </w:rPr>
      </w:pPr>
      <w:r>
        <w:rPr>
          <w:rFonts w:ascii="Liberation Serif" w:hAnsi="Liberation Serif"/>
          <w:b/>
          <w:bCs w:val="false"/>
          <w:iCs/>
          <w:sz w:val="28"/>
          <w:szCs w:val="28"/>
        </w:rPr>
        <w:t>управления муниципальным долгом Камышловского городского округа</w:t>
      </w:r>
    </w:p>
    <w:p>
      <w:pPr>
        <w:pStyle w:val="Normal"/>
        <w:tabs>
          <w:tab w:val="clear" w:pos="708"/>
          <w:tab w:val="left" w:pos="709" w:leader="none"/>
          <w:tab w:val="left" w:pos="2694" w:leader="none"/>
        </w:tabs>
        <w:jc w:val="center"/>
        <w:rPr>
          <w:rFonts w:ascii="Liberation Serif" w:hAnsi="Liberation Serif"/>
          <w:b/>
          <w:b/>
          <w:bCs w:val="false"/>
          <w:iCs/>
          <w:sz w:val="28"/>
          <w:szCs w:val="28"/>
        </w:rPr>
      </w:pPr>
      <w:r>
        <w:rPr>
          <w:rFonts w:ascii="Liberation Serif" w:hAnsi="Liberation Serif"/>
          <w:b/>
          <w:bCs w:val="false"/>
          <w:iCs/>
          <w:sz w:val="28"/>
          <w:szCs w:val="28"/>
        </w:rPr>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К основным рискам, возникающим в процессе управления муниципальным долгом и влияющим на эффективность долговой политики в среднесрочном периоде являются:</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риск ухудшения макроэкономической ситуации, в том числе повышение инфляции, снижение темпов экономического роста и, как следствие, снижение доступности заемных средств и рост стоимости заимствований;</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риск изменения налогового законодательства Российской Федерации, в том числе пересмотр распределения доходных источников между бюджетами бюджетной системы Российской Федерации;</w:t>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риск недостаточного поступления доходов в бюджет Камышловского городского округа вследствие снижения налоговой базы по основным доходным источникам бюджета Камышловского городского округа и отсутствие в бюджете средств для полного и своевременного исполнения обязательств.</w:t>
      </w:r>
    </w:p>
    <w:p>
      <w:pPr>
        <w:pStyle w:val="Normal"/>
        <w:tabs>
          <w:tab w:val="clear" w:pos="708"/>
          <w:tab w:val="left" w:pos="709" w:leader="none"/>
          <w:tab w:val="left" w:pos="2694" w:leader="none"/>
        </w:tabs>
        <w:jc w:val="both"/>
        <w:rPr>
          <w:rFonts w:ascii="Liberation Serif" w:hAnsi="Liberation Serif"/>
          <w:bCs w:val="false"/>
          <w:iCs/>
          <w:sz w:val="28"/>
          <w:szCs w:val="28"/>
        </w:rPr>
      </w:pPr>
      <w:r>
        <w:rPr>
          <w:rFonts w:ascii="Liberation Serif" w:hAnsi="Liberation Serif"/>
          <w:bCs w:val="false"/>
          <w:iCs/>
          <w:sz w:val="28"/>
          <w:szCs w:val="28"/>
        </w:rPr>
      </w:r>
    </w:p>
    <w:p>
      <w:pPr>
        <w:pStyle w:val="Normal"/>
        <w:tabs>
          <w:tab w:val="clear" w:pos="708"/>
          <w:tab w:val="left" w:pos="709" w:leader="none"/>
          <w:tab w:val="left" w:pos="2694" w:leader="none"/>
        </w:tabs>
        <w:jc w:val="center"/>
        <w:rPr>
          <w:rFonts w:ascii="Liberation Serif" w:hAnsi="Liberation Serif"/>
          <w:b/>
          <w:b/>
          <w:bCs w:val="false"/>
          <w:iCs/>
          <w:sz w:val="28"/>
          <w:szCs w:val="28"/>
        </w:rPr>
      </w:pPr>
      <w:r>
        <w:rPr>
          <w:rFonts w:ascii="Liberation Serif" w:hAnsi="Liberation Serif"/>
          <w:b/>
          <w:bCs w:val="false"/>
          <w:iCs/>
          <w:sz w:val="28"/>
          <w:szCs w:val="28"/>
        </w:rPr>
        <w:t>Глава 7. Дополнительные меры, способствующие эффективной</w:t>
      </w:r>
    </w:p>
    <w:p>
      <w:pPr>
        <w:pStyle w:val="Normal"/>
        <w:tabs>
          <w:tab w:val="clear" w:pos="708"/>
          <w:tab w:val="left" w:pos="709" w:leader="none"/>
          <w:tab w:val="left" w:pos="2694" w:leader="none"/>
        </w:tabs>
        <w:jc w:val="center"/>
        <w:rPr>
          <w:rFonts w:ascii="Liberation Serif" w:hAnsi="Liberation Serif"/>
          <w:b/>
          <w:b/>
          <w:bCs w:val="false"/>
          <w:iCs/>
          <w:sz w:val="28"/>
          <w:szCs w:val="28"/>
        </w:rPr>
      </w:pPr>
      <w:r>
        <w:rPr>
          <w:rFonts w:ascii="Liberation Serif" w:hAnsi="Liberation Serif"/>
          <w:b/>
          <w:bCs w:val="false"/>
          <w:iCs/>
          <w:sz w:val="28"/>
          <w:szCs w:val="28"/>
        </w:rPr>
        <w:t xml:space="preserve">реализации долговой политики </w:t>
      </w:r>
    </w:p>
    <w:p>
      <w:pPr>
        <w:pStyle w:val="Normal"/>
        <w:tabs>
          <w:tab w:val="clear" w:pos="708"/>
          <w:tab w:val="left" w:pos="709" w:leader="none"/>
          <w:tab w:val="left" w:pos="2694" w:leader="none"/>
        </w:tabs>
        <w:jc w:val="center"/>
        <w:rPr>
          <w:rFonts w:ascii="Liberation Serif" w:hAnsi="Liberation Serif"/>
          <w:b/>
          <w:b/>
          <w:bCs w:val="false"/>
          <w:iCs/>
          <w:sz w:val="28"/>
          <w:szCs w:val="28"/>
        </w:rPr>
      </w:pPr>
      <w:r>
        <w:rPr>
          <w:rFonts w:ascii="Liberation Serif" w:hAnsi="Liberation Serif"/>
          <w:b/>
          <w:bCs w:val="false"/>
          <w:iCs/>
          <w:sz w:val="28"/>
          <w:szCs w:val="28"/>
        </w:rPr>
      </w:r>
    </w:p>
    <w:p>
      <w:pPr>
        <w:pStyle w:val="Normal"/>
        <w:tabs>
          <w:tab w:val="clear" w:pos="708"/>
          <w:tab w:val="left" w:pos="709" w:leader="none"/>
          <w:tab w:val="left" w:pos="2694" w:leader="none"/>
        </w:tabs>
        <w:ind w:firstLine="709"/>
        <w:jc w:val="both"/>
        <w:rPr>
          <w:rFonts w:ascii="Liberation Serif" w:hAnsi="Liberation Serif"/>
          <w:bCs w:val="false"/>
          <w:iCs/>
          <w:sz w:val="28"/>
          <w:szCs w:val="28"/>
        </w:rPr>
      </w:pPr>
      <w:r>
        <w:rPr>
          <w:rFonts w:ascii="Liberation Serif" w:hAnsi="Liberation Serif"/>
          <w:bCs w:val="false"/>
          <w:iCs/>
          <w:sz w:val="28"/>
          <w:szCs w:val="28"/>
        </w:rPr>
        <w:t>Эффективной реализации долговой политики в 2020 году и плановом периоде 2021 и 2022 годов будут способствовать реализация плана мероприятий по оздоровлению муниципальных финансов, включая мероприятия, направленные на рост доходов, оптимизацию расходов, а также сокращение муниципального долга Камышловского городского округа;</w:t>
      </w:r>
    </w:p>
    <w:p>
      <w:pPr>
        <w:pStyle w:val="Normal"/>
        <w:jc w:val="center"/>
        <w:rPr/>
      </w:pPr>
      <w:r>
        <w:rPr/>
      </w:r>
    </w:p>
    <w:sectPr>
      <w:headerReference w:type="default" r:id="rId4"/>
      <w:type w:val="nextPage"/>
      <w:pgSz w:w="11906" w:h="16838"/>
      <w:pgMar w:left="1418" w:right="566" w:header="709" w:top="1134" w:footer="0" w:bottom="1134" w:gutter="0"/>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43866372"/>
    </w:sdtPr>
    <w:sdtContent>
      <w:p>
        <w:pPr>
          <w:pStyle w:val="Style24"/>
          <w:jc w:val="center"/>
          <w:rPr/>
        </w:pPr>
        <w:r>
          <w:rPr>
            <w:rFonts w:ascii="Liberation Serif" w:hAnsi="Liberation Serif"/>
          </w:rPr>
          <w:fldChar w:fldCharType="begin"/>
        </w:r>
        <w:r>
          <w:rPr>
            <w:rFonts w:ascii="Liberation Serif" w:hAnsi="Liberation Serif"/>
          </w:rPr>
          <w:instrText> PAGE </w:instrText>
        </w:r>
        <w:r>
          <w:rPr>
            <w:rFonts w:ascii="Liberation Serif" w:hAnsi="Liberation Serif"/>
          </w:rPr>
          <w:fldChar w:fldCharType="separate"/>
        </w:r>
        <w:r>
          <w:rPr>
            <w:rFonts w:ascii="Liberation Serif" w:hAnsi="Liberation Serif"/>
          </w:rPr>
          <w:t>6</w:t>
        </w:r>
        <w:r>
          <w:rPr>
            <w:rFonts w:ascii="Liberation Serif" w:hAnsi="Liberation Serif"/>
          </w:rPr>
          <w:fldChar w:fldCharType="end"/>
        </w:r>
      </w:p>
    </w:sdtContent>
  </w:sdt>
  <w:p>
    <w:pPr>
      <w:pStyle w:val="Style24"/>
      <w:rPr/>
    </w:pPr>
    <w:r>
      <w:rPr/>
    </w:r>
  </w:p>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40e3c"/>
    <w:pPr>
      <w:widowControl/>
      <w:bidi w:val="0"/>
      <w:spacing w:lineRule="auto" w:line="240" w:before="0" w:after="0"/>
      <w:jc w:val="left"/>
    </w:pPr>
    <w:rPr>
      <w:rFonts w:ascii="Times New Roman" w:hAnsi="Times New Roman" w:eastAsia="Times New Roman" w:cs="Times New Roman"/>
      <w:bCs/>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a90aaa"/>
    <w:rPr>
      <w:rFonts w:ascii="Times New Roman" w:hAnsi="Times New Roman" w:eastAsia="Times New Roman" w:cs="Times New Roman"/>
      <w:sz w:val="28"/>
      <w:szCs w:val="20"/>
      <w:lang w:eastAsia="ru-RU"/>
    </w:rPr>
  </w:style>
  <w:style w:type="character" w:styleId="Pagenumber">
    <w:name w:val="page number"/>
    <w:basedOn w:val="DefaultParagraphFont"/>
    <w:qFormat/>
    <w:rsid w:val="00a90aaa"/>
    <w:rPr/>
  </w:style>
  <w:style w:type="character" w:styleId="2" w:customStyle="1">
    <w:name w:val="Основной текст с отступом 2 Знак"/>
    <w:basedOn w:val="DefaultParagraphFont"/>
    <w:link w:val="2"/>
    <w:qFormat/>
    <w:rsid w:val="00a90aaa"/>
    <w:rPr>
      <w:rFonts w:ascii="Times New Roman" w:hAnsi="Times New Roman" w:eastAsia="Times New Roman" w:cs="Times New Roman"/>
      <w:sz w:val="28"/>
      <w:szCs w:val="20"/>
      <w:lang w:eastAsia="ru-RU"/>
    </w:rPr>
  </w:style>
  <w:style w:type="character" w:styleId="Style15" w:customStyle="1">
    <w:name w:val="Текст выноски Знак"/>
    <w:basedOn w:val="DefaultParagraphFont"/>
    <w:link w:val="a6"/>
    <w:uiPriority w:val="99"/>
    <w:semiHidden/>
    <w:qFormat/>
    <w:rsid w:val="009317f6"/>
    <w:rPr>
      <w:rFonts w:ascii="Tahoma" w:hAnsi="Tahoma" w:eastAsia="Times New Roman" w:cs="Tahoma"/>
      <w:bCs/>
      <w:sz w:val="16"/>
      <w:szCs w:val="16"/>
      <w:lang w:eastAsia="ru-RU"/>
    </w:rPr>
  </w:style>
  <w:style w:type="character" w:styleId="Style16" w:customStyle="1">
    <w:name w:val="Основной текст Знак"/>
    <w:basedOn w:val="DefaultParagraphFont"/>
    <w:link w:val="a9"/>
    <w:uiPriority w:val="99"/>
    <w:semiHidden/>
    <w:qFormat/>
    <w:rsid w:val="00dd2bd4"/>
    <w:rPr>
      <w:rFonts w:ascii="Times New Roman" w:hAnsi="Times New Roman" w:eastAsia="Times New Roman" w:cs="Times New Roman"/>
      <w:bCs/>
      <w:sz w:val="24"/>
      <w:szCs w:val="24"/>
      <w:lang w:eastAsia="ru-RU"/>
    </w:rPr>
  </w:style>
  <w:style w:type="character" w:styleId="Style17">
    <w:name w:val="Интернет-ссылка"/>
    <w:basedOn w:val="DefaultParagraphFont"/>
    <w:uiPriority w:val="99"/>
    <w:unhideWhenUsed/>
    <w:rsid w:val="0009271f"/>
    <w:rPr>
      <w:color w:val="0000FF" w:themeColor="hyperlink"/>
      <w:u w:val="single"/>
    </w:rPr>
  </w:style>
  <w:style w:type="character" w:styleId="Style18" w:customStyle="1">
    <w:name w:val="Нижний колонтитул Знак"/>
    <w:basedOn w:val="DefaultParagraphFont"/>
    <w:link w:val="ad"/>
    <w:uiPriority w:val="99"/>
    <w:qFormat/>
    <w:rsid w:val="00925200"/>
    <w:rPr>
      <w:rFonts w:ascii="Times New Roman" w:hAnsi="Times New Roman" w:eastAsia="Times New Roman" w:cs="Times New Roman"/>
      <w:bCs/>
      <w:sz w:val="24"/>
      <w:szCs w:val="24"/>
      <w:lang w:eastAsia="ru-RU"/>
    </w:rPr>
  </w:style>
  <w:style w:type="character" w:styleId="ConsPlusNormal" w:customStyle="1">
    <w:name w:val="ConsPlusNormal Знак"/>
    <w:link w:val="ConsPlusNormal"/>
    <w:qFormat/>
    <w:locked/>
    <w:rsid w:val="00685543"/>
    <w:rPr>
      <w:rFonts w:ascii="Times New Roman" w:hAnsi="Times New Roman" w:eastAsia="Times New Roman" w:cs="Times New Roman"/>
      <w:sz w:val="28"/>
      <w:szCs w:val="28"/>
      <w:lang w:eastAsia="ru-RU"/>
    </w:rPr>
  </w:style>
  <w:style w:type="character" w:styleId="ListLabel1">
    <w:name w:val="ListLabel 1"/>
    <w:qFormat/>
    <w:rPr>
      <w:rFonts w:ascii="Liberation Serif" w:hAnsi="Liberation Serif"/>
      <w:bCs w:val="false"/>
      <w:sz w:val="28"/>
      <w:szCs w:val="28"/>
    </w:rPr>
  </w:style>
  <w:style w:type="character" w:styleId="ListLabel2">
    <w:name w:val="ListLabel 2"/>
    <w:qFormat/>
    <w:rPr>
      <w:rFonts w:ascii="Liberation Serif" w:hAnsi="Liberation Serif"/>
      <w:bCs w:val="false"/>
      <w:sz w:val="28"/>
      <w:szCs w:val="28"/>
    </w:rPr>
  </w:style>
  <w:style w:type="character" w:styleId="ListLabel3">
    <w:name w:val="ListLabel 3"/>
    <w:qFormat/>
    <w:rPr>
      <w:rFonts w:ascii="Liberation Serif" w:hAnsi="Liberation Serif"/>
      <w:bCs w:val="false"/>
      <w:sz w:val="28"/>
      <w:szCs w:val="28"/>
    </w:rPr>
  </w:style>
  <w:style w:type="character" w:styleId="ListLabel4">
    <w:name w:val="ListLabel 4"/>
    <w:qFormat/>
    <w:rPr>
      <w:rFonts w:ascii="Liberation Serif" w:hAnsi="Liberation Serif"/>
      <w:bCs w:val="false"/>
      <w:sz w:val="28"/>
      <w:szCs w:val="28"/>
    </w:rPr>
  </w:style>
  <w:style w:type="paragraph" w:styleId="Style19">
    <w:name w:val="Заголовок"/>
    <w:basedOn w:val="Normal"/>
    <w:next w:val="Style20"/>
    <w:qFormat/>
    <w:pPr>
      <w:keepNext w:val="true"/>
      <w:spacing w:before="240" w:after="120"/>
    </w:pPr>
    <w:rPr>
      <w:rFonts w:ascii="Liberation Sans" w:hAnsi="Liberation Sans" w:eastAsia="Microsoft YaHei" w:cs="Lucida Sans"/>
      <w:sz w:val="28"/>
      <w:szCs w:val="28"/>
    </w:rPr>
  </w:style>
  <w:style w:type="paragraph" w:styleId="Style20">
    <w:name w:val="Body Text"/>
    <w:basedOn w:val="Normal"/>
    <w:link w:val="aa"/>
    <w:uiPriority w:val="99"/>
    <w:semiHidden/>
    <w:unhideWhenUsed/>
    <w:rsid w:val="00dd2bd4"/>
    <w:pPr>
      <w:spacing w:before="0" w:after="12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rPr>
  </w:style>
  <w:style w:type="paragraph" w:styleId="Style24">
    <w:name w:val="Header"/>
    <w:basedOn w:val="Normal"/>
    <w:link w:val="a4"/>
    <w:uiPriority w:val="99"/>
    <w:rsid w:val="00a90aaa"/>
    <w:pPr>
      <w:tabs>
        <w:tab w:val="clear" w:pos="708"/>
        <w:tab w:val="center" w:pos="4677" w:leader="none"/>
        <w:tab w:val="right" w:pos="9355" w:leader="none"/>
      </w:tabs>
    </w:pPr>
    <w:rPr>
      <w:bCs w:val="false"/>
      <w:sz w:val="28"/>
      <w:szCs w:val="20"/>
    </w:rPr>
  </w:style>
  <w:style w:type="paragraph" w:styleId="BodyTextIndent2">
    <w:name w:val="Body Text Indent 2"/>
    <w:basedOn w:val="Normal"/>
    <w:link w:val="20"/>
    <w:qFormat/>
    <w:rsid w:val="00a90aaa"/>
    <w:pPr>
      <w:ind w:firstLine="567"/>
      <w:jc w:val="both"/>
    </w:pPr>
    <w:rPr>
      <w:bCs w:val="false"/>
      <w:sz w:val="28"/>
      <w:szCs w:val="20"/>
    </w:rPr>
  </w:style>
  <w:style w:type="paragraph" w:styleId="BalloonText">
    <w:name w:val="Balloon Text"/>
    <w:basedOn w:val="Normal"/>
    <w:link w:val="a7"/>
    <w:uiPriority w:val="99"/>
    <w:semiHidden/>
    <w:unhideWhenUsed/>
    <w:qFormat/>
    <w:rsid w:val="009317f6"/>
    <w:pPr/>
    <w:rPr>
      <w:rFonts w:ascii="Tahoma" w:hAnsi="Tahoma" w:cs="Tahoma"/>
      <w:sz w:val="16"/>
      <w:szCs w:val="16"/>
    </w:rPr>
  </w:style>
  <w:style w:type="paragraph" w:styleId="ListParagraph">
    <w:name w:val="List Paragraph"/>
    <w:basedOn w:val="Normal"/>
    <w:uiPriority w:val="34"/>
    <w:qFormat/>
    <w:rsid w:val="001b20c3"/>
    <w:pPr>
      <w:spacing w:before="0" w:after="0"/>
      <w:ind w:left="720" w:hanging="0"/>
      <w:contextualSpacing/>
    </w:pPr>
    <w:rPr/>
  </w:style>
  <w:style w:type="paragraph" w:styleId="Style25">
    <w:name w:val="Footer"/>
    <w:basedOn w:val="Normal"/>
    <w:link w:val="ae"/>
    <w:uiPriority w:val="99"/>
    <w:unhideWhenUsed/>
    <w:rsid w:val="00925200"/>
    <w:pPr>
      <w:tabs>
        <w:tab w:val="clear" w:pos="708"/>
        <w:tab w:val="center" w:pos="4677" w:leader="none"/>
        <w:tab w:val="right" w:pos="9355" w:leader="none"/>
      </w:tabs>
    </w:pPr>
    <w:rPr/>
  </w:style>
  <w:style w:type="paragraph" w:styleId="ConsPlusNormal1" w:customStyle="1">
    <w:name w:val="ConsPlusNormal"/>
    <w:link w:val="ConsPlusNormal0"/>
    <w:qFormat/>
    <w:rsid w:val="00685543"/>
    <w:pPr>
      <w:widowControl/>
      <w:bidi w:val="0"/>
      <w:spacing w:lineRule="auto" w:line="240" w:before="0" w:after="0"/>
      <w:jc w:val="both"/>
    </w:pPr>
    <w:rPr>
      <w:rFonts w:ascii="Times New Roman" w:hAnsi="Times New Roman" w:eastAsia="Times New Roman" w:cs="Times New Roman"/>
      <w:color w:val="auto"/>
      <w:kern w:val="0"/>
      <w:sz w:val="28"/>
      <w:szCs w:val="28"/>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c">
    <w:name w:val="Table Grid"/>
    <w:basedOn w:val="a1"/>
    <w:uiPriority w:val="59"/>
    <w:rsid w:val="009f6025"/>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4D8435A533D1F56129FFC560B3CE582D00534BF4CA53A4CB93182180BEM761J"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1FA0B-4F0D-4DCF-BECE-422D59AC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Application>LibreOffice/6.1.4.2$Windows_X86_64 LibreOffice_project/9d0f32d1f0b509096fd65e0d4bec26ddd1938fd3</Application>
  <Pages>6</Pages>
  <Words>1294</Words>
  <Characters>9390</Characters>
  <CharactersWithSpaces>10635</CharactersWithSpaces>
  <Paragraphs>134</Paragraphs>
  <Company>Минфин СО</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2019-10-25T04:38:00Z</dcterms:created>
  <dc:creator>Matveyev</dc:creator>
  <dc:description/>
  <dc:language>ru-RU</dc:language>
  <cp:lastModifiedBy/>
  <cp:lastPrinted>2019-11-13T17:22:09Z</cp:lastPrinted>
  <dcterms:modified xsi:type="dcterms:W3CDTF">2019-11-13T17:25:08Z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Минфин СО</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