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5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1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bookmarkStart w:id="0" w:name="_GoBack2"/>
      <w:bookmarkStart w:id="1" w:name="_GoBack1"/>
      <w:bookmarkEnd w:id="0"/>
      <w:bookmarkEnd w:id="1"/>
      <w:r>
        <w:rPr>
          <w:rStyle w:val="Style1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22.04.2020</w:t>
      </w:r>
      <w:r>
        <w:rPr>
          <w:rStyle w:val="Style1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265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  <w:lang w:val="en-US"/>
        </w:rPr>
        <w:t>О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173 «О проведении мероприятий, направленных </w:t>
      </w:r>
    </w:p>
    <w:p>
      <w:pPr>
        <w:pStyle w:val="Normal"/>
        <w:spacing w:lineRule="auto" w:line="240" w:before="0" w:after="0"/>
        <w:ind w:firstLine="709"/>
        <w:jc w:val="center"/>
        <w:rPr>
          <w:i w:val="false"/>
          <w:i w:val="false"/>
          <w:iCs w:val="false"/>
        </w:rPr>
      </w:pPr>
      <w:bookmarkStart w:id="2" w:name="__DdeLink__12126_2947362726"/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2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подпункт 1 пункта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«торговых, торгово-развлекательных центров и комплексов, за исключением объектов, реализующих продовольственные товары»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пункт 2 дополнить подпунктом 5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«розничную продажу алкогольной продукции, в том числе при оказании услуг общественного питания, с 19 часов до 10 часов по местному времени.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Запретить до 15 мая 2020 года любительскую и спортивную охоту, охоту в целях содержания и разведения охотничьих ресурсов в полувольных условиях или искусственно созданной среде обитания на территории закрепленных и общедоступных охотничьих угодий в Камышловском городском округе, а также на особо охраняемых природных территориях областного значения».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подпункт 4 пункта 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«4) соблюдать постановления санитарных врачей о нахождении в режиме изоляции и медицинского наблюдения в домашних условиях или в условиях обсерватора».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3" w:name="_GoBack"/>
      <w:bookmarkStart w:id="4" w:name="_GoBack"/>
      <w:bookmarkEnd w:id="4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Обычный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FB41-D7DD-4FC2-BF51-F88FF093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LibreOffice/6.3.4.2$Windows_X86_64 LibreOffice_project/60da17e045e08f1793c57c00ba83cdfce946d0aa</Application>
  <Pages>2</Pages>
  <Words>401</Words>
  <Characters>2583</Characters>
  <CharactersWithSpaces>3015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2020-04-14T04:22:00Z</dcterms:created>
  <dc:creator>PulnikovaAA</dc:creator>
  <dc:description/>
  <dc:language>ru-RU</dc:language>
  <cp:lastModifiedBy/>
  <cp:lastPrinted>2020-04-22T13:34:48Z</cp:lastPrinted>
  <dcterms:modified xsi:type="dcterms:W3CDTF">2020-04-22T13:35:55Z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