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8"/>
        <w:gridCol w:w="259"/>
        <w:gridCol w:w="260"/>
        <w:gridCol w:w="259"/>
        <w:gridCol w:w="235"/>
        <w:gridCol w:w="236"/>
        <w:gridCol w:w="235"/>
        <w:gridCol w:w="12885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/>
            </w:pPr>
            <w:r>
              <w:rPr/>
            </w:r>
          </w:p>
        </w:tc>
        <w:tc>
          <w:tcPr>
            <w:tcW w:w="35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8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Приложение № 2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>
        <w:trPr>
          <w:trHeight w:val="510" w:hRule="atLeast"/>
        </w:trPr>
        <w:tc>
          <w:tcPr>
            <w:tcW w:w="14963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4963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3" w:type="dxa"/>
            <w:gridSpan w:val="9"/>
            <w:tcBorders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tbl>
      <w:tblPr>
        <w:tblW w:w="14965" w:type="dxa"/>
        <w:jc w:val="left"/>
        <w:tblInd w:w="-11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2"/>
        <w:gridCol w:w="1201"/>
        <w:gridCol w:w="1204"/>
        <w:gridCol w:w="1201"/>
        <w:gridCol w:w="1139"/>
        <w:gridCol w:w="1139"/>
        <w:gridCol w:w="1139"/>
        <w:gridCol w:w="1140"/>
        <w:gridCol w:w="1139"/>
        <w:gridCol w:w="1667"/>
      </w:tblGrid>
      <w:tr>
        <w:trPr>
          <w:trHeight w:val="255" w:hRule="atLeast"/>
          <w:cantSplit w:val="true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0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4"/>
        <w:ind w:left="0" w:right="0" w:hanging="0"/>
        <w:rPr/>
      </w:pPr>
      <w:r>
        <w:rPr/>
      </w:r>
    </w:p>
    <w:tbl>
      <w:tblPr>
        <w:tblW w:w="14965" w:type="dxa"/>
        <w:jc w:val="left"/>
        <w:tblInd w:w="-11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2"/>
        <w:gridCol w:w="1201"/>
        <w:gridCol w:w="1204"/>
        <w:gridCol w:w="1201"/>
        <w:gridCol w:w="1139"/>
        <w:gridCol w:w="1139"/>
        <w:gridCol w:w="1139"/>
        <w:gridCol w:w="1"/>
        <w:gridCol w:w="1139"/>
        <w:gridCol w:w="1139"/>
        <w:gridCol w:w="1667"/>
      </w:tblGrid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5598 887 332,62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818 436 500,00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833 732 852,00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753 954 290,00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3009 318 136,00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416 978 309,00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447 445 800,00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455 665 300,00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464 321 200,00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394 354 642,00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2589 549 196,62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370 970 700,00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369 411 652,00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359 599 648,00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5598 887 332,62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818 436 500,00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833 732 852,00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753 954 290,00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3009 318 136,00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416 978 309,00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447 445 800,00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455 665 300,00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464 321 200,00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394 354 642,00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2589 549 196,62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370 970 700,00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369 411 652,00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359 599 648,00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1998 054 829,80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285 524 401,00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291 847 460,00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282 017 474,00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1311 433 013,00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183 776 600,00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190 395 360,00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187 726 219,00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686 621 816,80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101 747 801,00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101 452 100,00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94 291 255,00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1998 054 829,80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285 524 401,00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291 847 460,00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282 017 474,00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1311 433 013,00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183 776 600,00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190 395 360,00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187 726 219,00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686 621 816,80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101 747 801,00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101 452 100,00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94 291 255,00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08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644 845 528,00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82 205 850,00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95 194 650,00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98 323 947,00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91 310 463,00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98 761 397,00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644 845 528,00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82 205 850,00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95 194 650,00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98 323 947,00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91 310 463,00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98 761 397,00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7 012 162,80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6 638 396,11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373 766,69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7 012 162,80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6 638 396,11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373 766,69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1268 092 400,00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163 344 200,00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183 588 000,00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180 840 000,00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195 108 000,00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1.1.1.6., 1.1.2.1.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1268 092 400,00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163 344 200,00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183 588 000,00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180 840 000,00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195 108 000,00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17 191 000,00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2 223 000,00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2 812 000,00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17 191 000,00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2 223 000,00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2 812 000,00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25 756 975,00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3 899 100,00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4 134 400,00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4 403 360,00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4 229 727,00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457 472,00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25 756 975,00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3 899 100,00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4 134 400,00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4 403 360,00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4 229 727,00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457 472,00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392 638,00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48 292,00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56 492,00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61 102,00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392 638,00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48 292,00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56 492,00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61 102,00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21 344 236,00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3 029 392,00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3 128 153,00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2 980 792,00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3 224 025,00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21 344 236,00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3 029 392,00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3 128 153,00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2 980 792,00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3 224 025,00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1 966 908,00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1 966 908,00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1 966 908,00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1 966 908,00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10 512 982,00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9 374 516,69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1 138 465,31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10 512 982,00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9 374 516,69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1 138 465,31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2219 025 706,55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334 301 520,00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345 483 913,00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342 911 721,00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279 008 743,00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1619 858 923,00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232 281 417,00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249 863 600,00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257 318 400,00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261 933 740,00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198 123 323,00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599 166 783,55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84 437 920,00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88 165 513,00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80 885 420,00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2219 025 706,55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334 301 520,00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345 483 913,00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342 911 721,00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279 008 743,00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1619 858 923,00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232 281 417,00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249 863 600,00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257 318 400,00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261 933 740,00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198 123 323,00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599 166 783,55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84 437 920,00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88 165 513,00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80 885 420,00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525 066 205,00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66 436 805,00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76 025 650,00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74 885 420,00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2.1.1.1., 2.1.2.1., 2.1.2.2., 2.2.1.1., 2.2.1.2.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525 066 205,00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66 436 805,00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76 025 650,00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74 885 420,00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819 568,00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819 568,00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60 982 000,00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11 785 000,00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17 046 000,00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60 982 000,00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11 785 000,00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17 046 000,00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29 077 067,27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18 249 308,27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2 085 099,00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29 077 067,27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18 249 308,27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2 085 099,00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1336 649 053,00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175 075 100,00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188 508 300,00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198 749 640,00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185 320 673,00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200 442 840,00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2.1.1.1., 2.1.1.4., 2.1.8.2.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1336 649 053,00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175 075 100,00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188 508 300,00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198 749 640,00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185 320 673,00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200 442 840,00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87 984 461,00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11 620 708,00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12 612 000,00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12 802 650,00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13 847 347,00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87 984 461,00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11 620 708,00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12 612 000,00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12 802 650,00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13 847 347,00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1 626 942,00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2.1.8.1., 2.1.8.2.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1 626 942,00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7 745 615,00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384 785,00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7 745 615,00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384 785,00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561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2.9. 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826 500,00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2.1.3.1., 2.1.4.1.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826 500,00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7 854 223,28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6 012 052,28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1 842 171,00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7 854 223,28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6 012 052,28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1 842 171,00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2.1.5.1.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55 970 400,00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2.1.1.10.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55 970 400,00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13 655 400,00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2.16.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76 117 000,00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18 719 700,00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76 117 000,00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18 719 700,00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19 168 000,00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2 825 183,00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2 825 183,00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1 329 509,00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1 329 509,00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1 495 674,00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1 495 674,00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189 419,00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189 419,00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2.2.1.1.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189 419,00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189 419,00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24 302 070,00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20 302 070,00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24 302 070,00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20 302 070,00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386 216 395,16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386 216 395,16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386 216 395,16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386 216 395,16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360 577 896,00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47 026 371,00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49 234 490,00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52 543 422,00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360 577 896,00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47 026 371,00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49 234 490,00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52 543 422,00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51 656 552,00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1 059 237,84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1 059 237,84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1 059 237,84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1 059 237,84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1 781 860,75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1 781 860,75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1 781 860,75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1 781 860,75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14 946 178,57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1 409 458,57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3.1.1.1., 3.1.1.4.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14 946 178,57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1 409 458,57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5 001 222,00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2 001 222,00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5 001 222,00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2 001 222,00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361 299 542,11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51 100 477,00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361 279 542,11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361 299 542,11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51 100 477,00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361 279 542,11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58 198 509,00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6 982 788,00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8 249 386,00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8 635 862,00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9 340 550,00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58 198 509,00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6 982 788,00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8 249 386,00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8 635 862,00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9 340 550,00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129 496 208,00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16 094 830,00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17 786 633,00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18 126 748,00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19 239 631,00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20 809 584,00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4.1.1.1., 4.1.1.9., 4.1.2.1., 4.1.2.3., 4.1.3.1., 4.1.3.2., 4.1.4.3.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129 496 208,00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16 094 830,00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17 786 633,00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18 126 748,00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19 239 631,00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20 809 584,00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170 629 198,00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21 613 954,00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24 711 756,00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24 450 559,00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26 445 724,00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170 629 198,00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21 613 954,00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24 711 756,00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24 450 559,00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26 445 724,00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853 929,11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853 929,11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4.1.1.10., 4.1.2.1., 4.1.2.2.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853 929,11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853 929,11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1 856 576,00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856 576,00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4.1.1.6., 4.1.4.1., 4.1.4.2., 4.1.4.3., 4.1.4.4., 4.1.4.5.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1 856 576,00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856 576,00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4.1.1.1., 4.1.1.13., 4.1.1.2., 4.1.1.3., 4.1.1.4., 4.1.1.7., 4.1.1.9., 4.1.2.1., 4.1.2.2., 4.1.3.2., 4.1.4.1., 4.1.4.2., 4.1.4.4., 4.1.4.5., 5.1.1.5., 5.1.1.6.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4.1.3.3.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 На модернизацию библиотек в части комплектования книжных фондов.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РАЗВИТИЕ ОБРАЗОВАНИЯ В СФЕРЕ КУЛЬТУРЫ КАМЫШЛОВСКОГО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ОБРАЗОВАНИЯ В СФЕРЕ КУЛЬТУРЫ КАМЫШЛОВСКОГО ГОРОДСКОГО ОКРУГА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275 260 001,89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39 341 557,00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270 627 401,89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36 902 157,00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275 260 001,89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39 341 557,00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270 627 401,89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36 902 157,00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школах искусств, детям сиротам, детям, оставшимся без попечения родителей и иным категориям граждан, нуждающихся в социальной поддержке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4 632 600,00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2 193 200,00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268 379 029,00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29 851 904,00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36 652 157,00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268 379 029,00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29 851 904,00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36 652 157,00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39 780 158,00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1 309 732,56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1 309 732,56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5.1.1.1., 5.1.1.5.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1 309 732,56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1 309 732,56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388 640,33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388 640,33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388 640,33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388 640,33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105 146 524,29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15 060 270,00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425 700,00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104 720 824,29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14 936 370,00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105 146 524,29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15 060 270,00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425 700,00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104 720 824,29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14 936 370,00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103 514 733,00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15 694 476,00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14 882 670,00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13 272 738,00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6.1.2.2., 6.1.2.3., 6.1.2.4., 6.1.2.5.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103 514 733,00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15 694 476,00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14 882 670,00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13 272 738,00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963 900,00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186 300,00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177 600,00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254 300,00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130 400,00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709 600,00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55 900,00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6.1.2.1., 6.3.1.1.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99 769 900,00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15 210 500,00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69 652 900,00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11 193 500,00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30 117 000,00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99 769 900,00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15 210 500,00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69 652 900,00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11 193 500,00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30 117 000,00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94 892 800,00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12 597 200,00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14 008 100,00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14 691 700,00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64 775 800,00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8 297 200,00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9 991 100,00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10 691 700,00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30 117 000,00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510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4 877 100,00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4 877 100,00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1 123 900,00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2 620 000,00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2 306 750,00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2 186 750,00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2 306 750,00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2 186 750,00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357 950,00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71 200,00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486 750,00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286 750,00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10.1.1.1., 10.1.1.2., 10.1.2.1., 10.1.3.1., 10.1.3.2.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142 517 682,82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142 517 682,82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142 517 682,82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142 517 682,82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140 397 682,82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18 065 526,82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18 032 245,00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11.1.1.1., 11.1.2.1., 11.1.3.1., 11.2.1.1., 11.2.1.2., 11.2.1.3., 11.2.1.4., 11.2.2.1.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140 397 682,82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18 065 526,82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18 032 245,00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21 337 473,00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12.1.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12.1.1.1., 12.1.1.2., 12.1.1.3., 12.1.3.1., 2.1.1.8.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13.1.1.2., 13.1.2.1.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13.2. Мероприятия по профилактике экстремизма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header="0" w:top="1134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contextualSpacing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"/>
      <w:szCs w:val="22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basedOn w:val="DefaultParagraphFont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  <w:contextualSpacing/>
    </w:pPr>
    <w:rPr>
      <w:rFonts w:ascii="PT Astra Serif" w:hAnsi="PT Astra Serif" w:eastAsia="Noto Sans Devanagari"/>
      <w:sz w:val="28"/>
      <w:szCs w:val="28"/>
    </w:rPr>
  </w:style>
  <w:style w:type="paragraph" w:styleId="Style17">
    <w:name w:val="Body Text"/>
    <w:basedOn w:val="Normal"/>
    <w:pPr>
      <w:spacing w:lineRule="exact" w:line="276" w:before="0" w:after="140"/>
      <w:contextualSpacing/>
    </w:pPr>
    <w:rPr/>
  </w:style>
  <w:style w:type="paragraph" w:styleId="Style18">
    <w:name w:val="List"/>
    <w:basedOn w:val="Style17"/>
    <w:pPr>
      <w:spacing w:lineRule="exact" w:line="276" w:before="0" w:after="140"/>
      <w:contextualSpacing/>
    </w:pPr>
    <w:rPr>
      <w:rFonts w:ascii="PT Astra Serif" w:hAnsi="PT Astra Serif" w:eastAsia="Noto Sans Devanagari"/>
    </w:rPr>
  </w:style>
  <w:style w:type="paragraph" w:styleId="Style19">
    <w:name w:val="Caption"/>
    <w:basedOn w:val="Normal"/>
    <w:qFormat/>
    <w:pPr>
      <w:spacing w:before="120" w:after="120"/>
      <w:contextualSpacing/>
    </w:pPr>
    <w:rPr>
      <w:rFonts w:ascii="PT Astra Serif" w:hAnsi="PT Astra Serif" w:eastAsia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/>
    <w:rPr>
      <w:rFonts w:ascii="PT Astra Serif" w:hAnsi="PT Astra Serif" w:eastAsia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hi-IN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9">
    <w:name w:val="xl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b/>
      <w:bCs/>
      <w:color w:val="000000"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color w:val="000000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b/>
      <w:bCs/>
      <w:color w:val="000000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color w:val="000000"/>
      <w:sz w:val="24"/>
      <w:szCs w:val="24"/>
    </w:rPr>
  </w:style>
  <w:style w:type="paragraph" w:styleId="Xl78">
    <w:name w:val="xl7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right"/>
      <w:textAlignment w:val="top"/>
    </w:pPr>
    <w:rPr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8</Pages>
  <Words>776</Words>
  <Characters>4200</Characters>
  <CharactersWithSpaces>5000</CharactersWithSpaces>
  <Paragraphs>370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2022-02-24T09:48:00Z</dcterms:created>
  <dc:creator>Пользователь Windows</dc:creator>
  <dc:description/>
  <dc:language>ru-RU</dc:language>
  <cp:lastModifiedBy/>
  <dcterms:modified xsi:type="dcterms:W3CDTF">2022-02-24T09:50:00Z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Пользователь Windows</vt:lpwstr>
  </property>
</Properties>
</file>