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left"/>
        <w:rPr/>
      </w:pPr>
      <w:r>
        <w:rPr>
          <w:sz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>
        <w:rPr>
          <w:b/>
          <w:sz w:val="32"/>
        </w:rPr>
        <w:t xml:space="preserve"> 202</w:t>
      </w:r>
      <w:r>
        <w:rPr>
          <w:b/>
          <w:sz w:val="32"/>
        </w:rPr>
        <w:t>1</w:t>
      </w:r>
      <w:r>
        <w:rPr>
          <w:b/>
          <w:sz w:val="32"/>
        </w:rPr>
        <w:t xml:space="preserve"> </w:t>
      </w:r>
      <w:r>
        <w:rPr>
          <w:sz w:val="32"/>
        </w:rPr>
        <w:t>год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1.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Состояние нормативно-правового регулирования в</w:t>
      </w:r>
    </w:p>
    <w:p>
      <w:pPr>
        <w:pStyle w:val="Normal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соответствующей сфере деятельности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Действующая нормативная правовая база Камышловского городского округа, необходимая для осуществления функций муниципального контроля сформирована в соответствии с действующим законодательством.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недопущения проявления коррупционных факторов при исполнении функций муниципального контроля приняты следующие муниципальные правовые акты: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09.11.2017 г. № 338-р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Административный регламент о муниципальном контроле за организацией и  осуществлением деятельности по продаже товаров, выполнению работ, оказанию услуг на розничных рынках на территории Камышловского ГО, утверждённый распоряжением главы КГО от 21.10.2014 г. № 390-р; 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о муниципальном контроле за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об осуществлении муниципального контроля в области торговой деятельности в Камышловском ГО, утверждённый распоряжением главы КГО от 21.10.2014 г. № 391-р;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об осуществлении муниципального контроля за обеспечением сохранности автомобильных дорог местного значения на территории Камышловского ГО, утверждённый распоряжением главы КГО от 14.11.2014 г. № 425-р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Административный регламент осуществления муниципального контроля в сфере благоустройства на территории Камышловского городского округа, утверждённый распоряжением главы Камышловского ГО </w:t>
      </w:r>
      <w:r>
        <w:rPr>
          <w:rFonts w:ascii="Liberation Serif" w:hAnsi="Liberation Serif"/>
          <w:bCs/>
          <w:sz w:val="28"/>
          <w:szCs w:val="28"/>
        </w:rPr>
        <w:t>от  16.12.2016 года № 466-Р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о муниципальном контроле за соблюдением условий организации регулярных перевозок на территории Камышловского городского округа, утверждённый распоряжением главы Камышловского ГО от 13.11.2017 г. № 343-р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Web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«Осуществление муниципального лесного контроля на территории Камышловского городского округа», утвержденный Распоряжением главы Камышловского ГО от 19.01.2018 года № 13-Р.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официальном сайте Камышловского городского округа по ссылке: </w:t>
      </w:r>
      <w:r>
        <w:rPr>
          <w:sz w:val="28"/>
          <w:u w:val="single"/>
        </w:rPr>
        <w:t>http://gorod-kamyshlov.ru/administratsiya/spetsialistyi/munitsipalnyij-kontrol/</w:t>
      </w:r>
      <w:r>
        <w:rPr>
          <w:rFonts w:ascii="Liberation Serif" w:hAnsi="Liberation Serif"/>
          <w:sz w:val="28"/>
          <w:szCs w:val="28"/>
        </w:rPr>
        <w:t>, размещены:</w:t>
      </w:r>
    </w:p>
    <w:p>
      <w:pPr>
        <w:pStyle w:val="NormalWe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утвержденный нормативно-правовым актом перечень видов муниципального контроля;</w:t>
      </w:r>
    </w:p>
    <w:p>
      <w:pPr>
        <w:pStyle w:val="NormalWe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обобщение практик осуществления муниципального контроля;</w:t>
      </w:r>
    </w:p>
    <w:p>
      <w:pPr>
        <w:pStyle w:val="NormalWe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перечни подконтрольных субъектов по каждому виду муниципального контроля;</w:t>
      </w:r>
    </w:p>
    <w:p>
      <w:pPr>
        <w:pStyle w:val="NormalWeb"/>
        <w:tabs>
          <w:tab w:val="clear" w:pos="708"/>
          <w:tab w:val="left" w:pos="51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утвержденные нормативно-правовыми актами административные регламенты по каждому виду муниципального контроля;</w:t>
      </w:r>
    </w:p>
    <w:p>
      <w:pPr>
        <w:pStyle w:val="NormalWe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утверждённые нормативно-правовыми актом программы профилактики на 2022 год.</w:t>
      </w:r>
    </w:p>
    <w:p>
      <w:pPr>
        <w:pStyle w:val="NormalWeb"/>
        <w:ind w:left="15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2.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Организация государственного контроля (надзора),</w:t>
      </w:r>
    </w:p>
    <w:p>
      <w:pPr>
        <w:pStyle w:val="Normal"/>
        <w:ind w:left="510" w:hanging="0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Отраслевые структурные подразделения администрации Камышловского городского округа, осуществляют муниципальный контроль в соответствующих сферах деятельности на территории Камышловского городского округа.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Функции муниципального земельного контроля, лесного контроля, жилищного контроля, контроль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контроль за обеспечением сохранности автомобильных дорог местного значения, контроль в сфере благоустройства, контроль за соблюдением условий организации регулярных перевозок, уполномочена осуществлять администрация Камышловского городского округа.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3.</w:t>
      </w:r>
    </w:p>
    <w:p>
      <w:pPr>
        <w:pStyle w:val="Normal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Финансирование расходов по проведению мероприятий муниципального контроля осуществляется за счет средств бюджета Камышловского городского округа.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Функцию муниципального земельного контроля выполняет одел архитектуры и градостроительства, а так же комитет по управлению имуществом и земельными ресурсами, функцию муниципального лесного контроля выполняет комитет по управлению имуществом и земельными ресурсами администрации Камышловского городского округа в составе двух сотрудников.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Функцию муниципального жилищного контроля, контроль в сфере благоустройства, контроль за соблюдением условий организации регулярных перевозок, контроль за обеспечением сохранности автомобильных дорог местного значения, выполняет отдел жилищно-коммунального и городского хозяйства администрации Камышловского городского округа, в составе двух сотрудников.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Функцию муниципального контроля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выполняет отдел экономики администрации Камышловского городского округа в составе одного сотрудника.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Квалификация муниципальных служащих соответствует занимаемым должностям.</w:t>
      </w:r>
    </w:p>
    <w:p>
      <w:pPr>
        <w:pStyle w:val="A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Мероприятия по повышению квалификации специалистов, выполняющих функции по муниципальному контролю в 2021 году проведены.</w:t>
      </w:r>
    </w:p>
    <w:p>
      <w:pPr>
        <w:pStyle w:val="NormalWeb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4.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Проведение государственного контроля (надзора),</w:t>
      </w:r>
    </w:p>
    <w:p>
      <w:pPr>
        <w:pStyle w:val="Normal"/>
        <w:ind w:hanging="0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</w:t>
      </w:r>
    </w:p>
    <w:p>
      <w:pPr>
        <w:pStyle w:val="Normal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        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highlight w:val="white"/>
        </w:rPr>
        <w:t>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исполнение </w:t>
      </w:r>
      <w:hyperlink r:id="rId2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>Постановление Правительства Российской Федерации от 30.11.2020 № 1969</w:t>
        </w:r>
      </w:hyperlink>
      <w:r>
        <w:rPr>
          <w:rStyle w:val="Appleconvertedspace"/>
          <w:rFonts w:cs="Liberation Serif;Times New Roman" w:ascii="Liberation Serif;Times New Roman" w:hAnsi="Liberation Serif;Times New Roman"/>
          <w:color w:val="000000"/>
          <w:sz w:val="28"/>
          <w:szCs w:val="28"/>
          <w:u w:val="none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 юридических лиц и индивидуальных предпринимателей на 2021 год в рамках осуществления муниципального контроля на территории Камышловского городского округа не запланированы, в связи с отсутствием подконтрольных субъектов в отношении которых возможно проведение плановых проверок.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Заявления граждан в отношении нарушений допущенных юридическими лицами и индивидуальными предпринимателями не поступали в адрес администрации Камышловского городского округа. Случаев причинения вреда, возникновения чрезвычайных ситуаций не было за текущий период. 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Совместных проверок с другими контролирующими органами не проводилось.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2021 года был подготовлен и направлен в Министерство экономического развития Российской Федерации полугодовой отчет в соответствующих сферах деятельности федерального статистического наблюдения с пояснительной запиской по форме № 1-контроль «Сведения об осуществлении государственного контроля (надзора) и муниципального контроля».</w:t>
      </w:r>
    </w:p>
    <w:p>
      <w:pPr>
        <w:pStyle w:val="NormalWeb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5.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Действия органов государственного контроля (надзора),</w:t>
      </w:r>
    </w:p>
    <w:p>
      <w:pPr>
        <w:pStyle w:val="Normal"/>
        <w:ind w:hanging="0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нарушений законодательства не выявлено, внеплановые проверки не проводились.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6.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Анализ и оценка эффективности государственного</w:t>
      </w:r>
    </w:p>
    <w:p>
      <w:pPr>
        <w:pStyle w:val="Normal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 w:themeColor="text1"/>
          <w:sz w:val="28"/>
          <w:szCs w:val="28"/>
          <w:highlight w:val="white"/>
        </w:rPr>
        <w:t>Во</w:t>
      </w:r>
      <w:r>
        <w:rPr>
          <w:rFonts w:cs="Liberation Serif;Times New Roman" w:ascii="Liberation Serif;Times New Roman" w:hAnsi="Liberation Serif;Times New Roman"/>
          <w:color w:val="000000" w:themeColor="text1"/>
          <w:sz w:val="28"/>
          <w:szCs w:val="28"/>
        </w:rPr>
        <w:t xml:space="preserve"> исполнение </w:t>
      </w:r>
      <w:hyperlink r:id="rId3">
        <w:r>
          <w:rPr>
            <w:rFonts w:cs="Liberation Serif;Times New Roman" w:ascii="Liberation Serif;Times New Roman" w:hAnsi="Liberation Serif;Times New Roman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от 30.11.2020 № 1969</w:t>
        </w:r>
      </w:hyperlink>
      <w:r>
        <w:rPr>
          <w:rStyle w:val="Appleconvertedspace"/>
          <w:rFonts w:cs="Liberation Serif;Times New Roman" w:ascii="Liberation Serif;Times New Roman" w:hAnsi="Liberation Serif;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 w:themeColor="text1"/>
          <w:sz w:val="28"/>
          <w:szCs w:val="28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 юридических лиц и индивидуальных предпринимателей на 2021 год в рамках осуществления муниципального контроля на территории Камышловского городского округа не запланированы, в связи с отсутствием подконтрольных субъектов в отношении которых возможно проведение плановых проверок.</w:t>
      </w:r>
    </w:p>
    <w:p>
      <w:pPr>
        <w:pStyle w:val="NormalWeb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Проведены мероприятия предусмотренные </w:t>
      </w:r>
      <w:r>
        <w:rPr>
          <w:rFonts w:ascii="Liberation Serif" w:hAnsi="Liberation Serif"/>
          <w:bCs/>
          <w:sz w:val="28"/>
          <w:szCs w:val="28"/>
        </w:rPr>
        <w:t>программой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территории Камышловского городского округа на 2021 год.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>
      <w:pPr>
        <w:pStyle w:val="NormalWeb"/>
        <w:ind w:firstLine="709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Раздел 7.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Выводы и предложения по результатам государственного</w:t>
      </w:r>
    </w:p>
    <w:p>
      <w:pPr>
        <w:pStyle w:val="Normal"/>
        <w:jc w:val="center"/>
        <w:rPr>
          <w:sz w:val="32"/>
        </w:rPr>
      </w:pPr>
      <w:r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>
      <w:pPr>
        <w:pStyle w:val="NormalWeb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Организация и проведение с населением профилактической работы по предотвращению нарушений законодательства.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Принятие мер, направленных на предупреждение, выявление и пресечения нарушений, предусмотренных действующим законодательством.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Усиление контроля за объективностью выявленных нарушений, правильной квалификацией.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5.Осуществление текущего контроля, за исполнением муниципальными инспекторами функции по осуществлению проверок деятельности юридических лиц, индивидуальных предпринимателей, граждан.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6.Своевременная подготовка проектов планов проведения плановых проверок юридических лиц и индивидуальных предпринимателей.</w:t>
      </w:r>
    </w:p>
    <w:p>
      <w:pPr>
        <w:pStyle w:val="NormalWeb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Регулярное обобщение практики осуществления в соответствующей сфере деятельности муниципального контроля.</w:t>
      </w:r>
    </w:p>
    <w:p>
      <w:pPr>
        <w:pStyle w:val="NormalWeb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sz w:val="32"/>
        </w:rPr>
      </w:pPr>
      <w:r>
        <w:rPr>
          <w:sz w:val="32"/>
          <w:szCs w:val="32"/>
        </w:rPr>
        <w:t>Приложения</w:t>
      </w:r>
    </w:p>
    <w:p>
      <w:pPr>
        <w:pStyle w:val="NormalWeb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8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04177"/>
    <w:rPr>
      <w:rFonts w:ascii="Tahoma" w:hAnsi="Tahoma" w:eastAsia="Times New Roman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352"/>
    <w:rPr>
      <w:b/>
      <w:bCs/>
    </w:rPr>
  </w:style>
  <w:style w:type="character" w:styleId="Style17" w:customStyle="1">
    <w:name w:val="Интернет-ссылка"/>
    <w:basedOn w:val="DefaultParagraphFont"/>
    <w:rsid w:val="003e1b9a"/>
    <w:rPr>
      <w:color w:val="0000FF" w:themeColor="hyperlink"/>
      <w:u w:val="single"/>
    </w:rPr>
  </w:style>
  <w:style w:type="character" w:styleId="Style18">
    <w:name w:val="Основной шрифт абзаца"/>
    <w:qFormat/>
    <w:rPr/>
  </w:style>
  <w:style w:type="character" w:styleId="Appleconvertedspace">
    <w:name w:val="apple-converted-space"/>
    <w:basedOn w:val="Style18"/>
    <w:qFormat/>
    <w:rPr/>
  </w:style>
  <w:style w:type="paragraph" w:styleId="Style19" w:customStyle="1">
    <w:name w:val="Заголовок"/>
    <w:basedOn w:val="Normal"/>
    <w:next w:val="Style20"/>
    <w:qFormat/>
    <w:rsid w:val="004c060e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4c060e"/>
    <w:pPr>
      <w:spacing w:lineRule="auto" w:line="276" w:before="0" w:after="140"/>
    </w:pPr>
    <w:rPr/>
  </w:style>
  <w:style w:type="paragraph" w:styleId="Style21">
    <w:name w:val="List"/>
    <w:basedOn w:val="Style20"/>
    <w:rsid w:val="004c060e"/>
    <w:pPr/>
    <w:rPr>
      <w:rFonts w:ascii="PT Astra Serif" w:hAnsi="PT Astra Serif" w:cs="Noto Sans Devanagari"/>
    </w:rPr>
  </w:style>
  <w:style w:type="paragraph" w:styleId="Style22" w:customStyle="1">
    <w:name w:val="Caption"/>
    <w:basedOn w:val="Normal"/>
    <w:qFormat/>
    <w:rsid w:val="004c060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4c060e"/>
    <w:pPr>
      <w:suppressLineNumbers/>
    </w:pPr>
    <w:rPr>
      <w:rFonts w:ascii="PT Astra Serif" w:hAnsi="PT Astra Serif" w:cs="Noto Sans Devanagari"/>
    </w:rPr>
  </w:style>
  <w:style w:type="paragraph" w:styleId="Style24" w:customStyle="1">
    <w:name w:val="Верхний и нижний колонтитулы"/>
    <w:basedOn w:val="Normal"/>
    <w:qFormat/>
    <w:rsid w:val="004c060e"/>
    <w:pPr/>
    <w:rPr/>
  </w:style>
  <w:style w:type="paragraph" w:styleId="Style25" w:customStyle="1">
    <w:name w:val="Header"/>
    <w:basedOn w:val="Normal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40417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52352"/>
    <w:pPr>
      <w:ind w:firstLine="150"/>
      <w:jc w:val="both"/>
    </w:pPr>
    <w:rPr/>
  </w:style>
  <w:style w:type="paragraph" w:styleId="A" w:customStyle="1">
    <w:name w:val="a"/>
    <w:basedOn w:val="Normal"/>
    <w:qFormat/>
    <w:rsid w:val="00f52352"/>
    <w:pPr>
      <w:ind w:firstLine="150"/>
      <w:jc w:val="both"/>
    </w:pPr>
    <w:rPr/>
  </w:style>
  <w:style w:type="paragraph" w:styleId="Consplustitle" w:customStyle="1">
    <w:name w:val="consplustitle"/>
    <w:basedOn w:val="Normal"/>
    <w:qFormat/>
    <w:rsid w:val="00f52352"/>
    <w:pPr>
      <w:ind w:firstLine="150"/>
      <w:jc w:val="both"/>
    </w:pPr>
    <w:rPr/>
  </w:style>
  <w:style w:type="paragraph" w:styleId="ListParagraph">
    <w:name w:val="List Paragraph"/>
    <w:basedOn w:val="Normal"/>
    <w:uiPriority w:val="34"/>
    <w:qFormat/>
    <w:rsid w:val="005735fd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4f4c0a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.gov66.ru/wp-content/uploads/2020/12/postanovlenie-RF-1969.pdf" TargetMode="External"/><Relationship Id="rId3" Type="http://schemas.openxmlformats.org/officeDocument/2006/relationships/hyperlink" Target="http://ar.gov66.ru/wp-content/uploads/2020/12/postanovlenie-RF-1969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5</Pages>
  <Words>1054</Words>
  <Characters>8564</Characters>
  <CharactersWithSpaces>9562</CharactersWithSpaces>
  <Paragraphs>65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2014-01-20T09:43:00Z</dcterms:created>
  <dc:creator/>
  <dc:description/>
  <dc:language>ru-RU</dc:language>
  <cp:lastModifiedBy/>
  <cp:lastPrinted>2022-01-10T10:26:07Z</cp:lastPrinted>
  <dcterms:modified xsi:type="dcterms:W3CDTF">2022-01-11T13:16:46Z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