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8"/>
        <w:gridCol w:w="236"/>
      </w:tblGrid>
      <w:tr>
        <w:trPr/>
        <w:tc>
          <w:tcPr>
            <w:tcW w:w="15118" w:type="dxa"/>
            <w:tcBorders/>
            <w:shd w:fill="auto" w:val="clear"/>
          </w:tcPr>
          <w:p>
            <w:pPr>
              <w:pStyle w:val="Style15"/>
              <w:autoSpaceDE w:val="false"/>
              <w:ind w:left="0" w:right="0" w:firstLine="9923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Приложение №3</w:t>
            </w:r>
          </w:p>
          <w:p>
            <w:pPr>
              <w:pStyle w:val="Style15"/>
              <w:autoSpaceDE w:val="false"/>
              <w:ind w:left="0" w:right="0" w:firstLine="9923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к постановлению главы Камышловского городского</w:t>
            </w:r>
          </w:p>
          <w:p>
            <w:pPr>
              <w:pStyle w:val="Style15"/>
              <w:autoSpaceDE w:val="false"/>
              <w:ind w:left="0" w:right="0" w:firstLine="9923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округа от 20.11.2013г №2053</w:t>
            </w:r>
          </w:p>
          <w:p>
            <w:pPr>
              <w:pStyle w:val="Style15"/>
              <w:autoSpaceDE w:val="false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15"/>
              <w:autoSpaceDE w:val="false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  <w:p>
            <w:pPr>
              <w:pStyle w:val="Style15"/>
              <w:autoSpaceDE w:val="false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cs="Calibri" w:ascii="Liberation Serif" w:hAnsi="Liberation Serif"/>
                <w:sz w:val="22"/>
                <w:szCs w:val="22"/>
              </w:rPr>
            </w:r>
          </w:p>
          <w:p>
            <w:pPr>
              <w:pStyle w:val="Style15"/>
              <w:autoSpaceDE w:val="false"/>
              <w:ind w:left="0" w:right="-1636" w:hanging="0"/>
              <w:jc w:val="center"/>
              <w:rPr>
                <w:rFonts w:ascii="Liberation Serif" w:hAnsi="Liberation Serif" w:cs="Times New Roman CYR"/>
                <w:b/>
                <w:b/>
                <w:bCs/>
                <w:sz w:val="28"/>
                <w:szCs w:val="28"/>
              </w:rPr>
            </w:pPr>
            <w:r>
              <w:rPr>
                <w:rFonts w:cs="Times New Roman CYR" w:ascii="Liberation Serif" w:hAnsi="Liberation Serif"/>
                <w:b/>
                <w:bCs/>
                <w:sz w:val="28"/>
                <w:szCs w:val="28"/>
              </w:rPr>
              <w:t>План мероприятий по выполнению муниципальной программы</w:t>
            </w:r>
          </w:p>
          <w:p>
            <w:pPr>
              <w:pStyle w:val="Style15"/>
              <w:widowControl w:val="false"/>
              <w:autoSpaceDE w:val="false"/>
              <w:ind w:left="0" w:right="0" w:firstLine="540"/>
              <w:jc w:val="center"/>
              <w:rPr/>
            </w:pPr>
            <w:r>
              <w:rPr>
                <w:rStyle w:val="Style14"/>
                <w:rFonts w:cs="Calibri" w:ascii="Liberation Serif" w:hAnsi="Liberation Serif"/>
                <w:sz w:val="24"/>
                <w:szCs w:val="24"/>
              </w:rPr>
              <w:t>«</w:t>
            </w:r>
            <w:r>
              <w:rPr>
                <w:rStyle w:val="Style14"/>
                <w:rFonts w:cs="Arial" w:ascii="Liberation Serif" w:hAnsi="Liberation Serif"/>
                <w:sz w:val="24"/>
                <w:szCs w:val="24"/>
              </w:rPr>
              <w:t>Повышение эффективности управления муниципальной собственностью Камышловского городского округа до 2020 года</w:t>
            </w:r>
            <w:r>
              <w:rPr>
                <w:rStyle w:val="Style14"/>
                <w:rFonts w:cs="Calibri"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</w:tr>
      <w:tr>
        <w:trPr/>
        <w:tc>
          <w:tcPr>
            <w:tcW w:w="15118" w:type="dxa"/>
            <w:tcBorders/>
            <w:shd w:fill="auto" w:val="clear"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15"/>
              <w:autoSpaceDE w:val="false"/>
              <w:jc w:val="center"/>
              <w:rPr/>
            </w:pPr>
            <w:r>
              <w:rPr>
                <w:rStyle w:val="Style14"/>
                <w:rFonts w:cs="Calibri" w:ascii="Liberation Serif" w:hAnsi="Liberation Serif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Style14"/>
                <w:rFonts w:ascii="Liberation Serif" w:hAnsi="Liberation Serif"/>
                <w:sz w:val="22"/>
                <w:szCs w:val="22"/>
              </w:rPr>
              <w:t>(руб.)</w:t>
            </w:r>
          </w:p>
          <w:tbl>
            <w:tblPr>
              <w:tblW w:w="14786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7"/>
              <w:gridCol w:w="2667"/>
              <w:gridCol w:w="1417"/>
              <w:gridCol w:w="1276"/>
              <w:gridCol w:w="992"/>
              <w:gridCol w:w="1134"/>
              <w:gridCol w:w="1276"/>
              <w:gridCol w:w="992"/>
              <w:gridCol w:w="1134"/>
              <w:gridCol w:w="1455"/>
              <w:gridCol w:w="1536"/>
            </w:tblGrid>
            <w:tr>
              <w:trPr>
                <w:trHeight w:val="1196" w:hRule="atLeast"/>
              </w:trPr>
              <w:tc>
                <w:tcPr>
                  <w:tcW w:w="9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Cs/>
                      <w:sz w:val="22"/>
                      <w:szCs w:val="22"/>
                    </w:rPr>
                    <w:t xml:space="preserve">№ </w:t>
                  </w: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строки</w:t>
                  </w:r>
                </w:p>
              </w:tc>
              <w:tc>
                <w:tcPr>
                  <w:tcW w:w="26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Наименование мероприятия/ источники расходов на финансирование</w:t>
                  </w:r>
                </w:p>
              </w:tc>
              <w:tc>
                <w:tcPr>
                  <w:tcW w:w="9676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 xml:space="preserve">Объем расходов на выполнение мероприятия за счет всех источников 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ресурсного обеспечения, рублей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  <w:lang w:val="en-US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cs="Calibri" w:ascii="Liberation Serif" w:hAnsi="Liberation Serif"/>
                      <w:sz w:val="22"/>
                      <w:szCs w:val="22"/>
                      <w:lang w:val="en-US"/>
                    </w:rPr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Номер строки целевых показателей, на  достижение которых направлены мероприятия</w:t>
                  </w:r>
                </w:p>
              </w:tc>
            </w:tr>
            <w:tr>
              <w:trPr>
                <w:trHeight w:val="364" w:hRule="atLeast"/>
              </w:trPr>
              <w:tc>
                <w:tcPr>
                  <w:tcW w:w="90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266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 xml:space="preserve">2014 год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2015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2016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2017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1536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9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11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b/>
                      <w:b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  <w:szCs w:val="18"/>
                    </w:rPr>
                    <w:t>ВСЕГО ПО МУНИЦИПАЛЬНОЙ ПРОГРАММЕ, В ТОМ ЧИСЛЕ: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41231550,69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8645936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16702482,97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67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3241400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3241400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269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37990150,69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8645936</w:t>
                  </w:r>
                </w:p>
                <w:p>
                  <w:pPr>
                    <w:pStyle w:val="Style1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13461082,97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Капитальные вложения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Прочие нужды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41231550,69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8645936</w:t>
                  </w:r>
                </w:p>
                <w:p>
                  <w:pPr>
                    <w:pStyle w:val="Style1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16702482,97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62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Всего по направлению «Прочие нужды», в том числе: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41231550,69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8645936</w:t>
                  </w:r>
                </w:p>
                <w:p>
                  <w:pPr>
                    <w:pStyle w:val="Style1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16702482,97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3241400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3241400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Выполнение комплексных кадастровых работ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3241400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         </w:t>
                  </w: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3241400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79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37990150,69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4029204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8645936</w:t>
                  </w:r>
                </w:p>
                <w:p>
                  <w:pPr>
                    <w:pStyle w:val="Style1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13461082,97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Инвентаризация и оценка муниципального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6595699,29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852950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1198860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935449,29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1098440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810000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700000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Инвентаризация имущества физических лиц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580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18</w:t>
                  </w:r>
                </w:p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Межевание земельных участков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1601914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108500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387504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29500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36218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276192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457000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307000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570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12783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5718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1765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Содержание и ремонт муниципального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sz w:val="22"/>
                      <w:szCs w:val="22"/>
                    </w:rPr>
                    <w:t>902431,34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69521,3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453592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20210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7308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145000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191800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Прочие расходы на управление и содержание программы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9087003,09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1819967,7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1212007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1431693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1146792,43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1056072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1206236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1229235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Снос ветхого недвижимого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19685319,97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240000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392036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1450000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6172000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11031282,97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Постановка на учет и оформление права собственности на автодороги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105000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Выполнение комплексных кадастровых работ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Style15"/>
              <w:autoSpaceDE w:val="false"/>
              <w:jc w:val="both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</w:tr>
    </w:tbl>
    <w:p>
      <w:pPr>
        <w:pStyle w:val="Style15"/>
        <w:autoSpaceDE w:val="false"/>
        <w:jc w:val="both"/>
        <w:rPr>
          <w:rFonts w:ascii="Liberation Serif" w:hAnsi="Liberation Serif" w:cs="Arial"/>
        </w:rPr>
      </w:pPr>
      <w:r>
        <w:rPr>
          <w:rFonts w:cs="Arial" w:ascii="Liberation Serif" w:hAnsi="Liberation Serif"/>
        </w:rPr>
      </w:r>
    </w:p>
    <w:p>
      <w:pPr>
        <w:pStyle w:val="Style15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Calibri" w:cs="Times New Roman"/>
        <w:sz w:val="22"/>
        <w:lang w:val="ru-RU" w:eastAsia="en-US" w:bidi="ar-SA"/>
      </w:rPr>
    </w:rPrDefault>
    <w:pPrDefault>
      <w:pPr>
        <w:widowControl/>
        <w:suppressAutoHyphens w:val="false"/>
        <w:spacing w:lineRule="auto" w:line="254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baseline"/>
    </w:pPr>
    <w:rPr>
      <w:rFonts w:ascii="Liberation Serif" w:hAnsi="Liberation Serif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16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LibreOffice/6.3.4.2$Windows_X86_64 LibreOffice_project/60da17e045e08f1793c57c00ba83cdfce946d0aa</Application>
  <Pages>2</Pages>
  <Words>336</Words>
  <CharactersWithSpaces>2864</CharactersWithSpaces>
  <Paragraphs>218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2020-10-13T10:41:00Z</dcterms:created>
  <dc:creator>Бухгалтер</dc:creator>
  <dc:description/>
  <dc:language>ru-RU</dc:language>
  <cp:lastModifiedBy>Бухгалтер</cp:lastModifiedBy>
  <dcterms:modified xsi:type="dcterms:W3CDTF">2020-10-13T10:44:00Z</dcterms:modified>
  <cp:revision>2</cp:revision>
  <dc:subject/>
  <dc:title/>
</cp:coreProperties>
</file>