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Liberation Serif" w:hAnsi="Liberation Serif"/>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w:t>
      </w:r>
      <w:r>
        <w:rPr>
          <w:rFonts w:cs="Liberation Serif" w:ascii="Liberation Serif" w:hAnsi="Liberation Serif"/>
          <w:b/>
          <w:bCs/>
          <w:sz w:val="24"/>
          <w:szCs w:val="24"/>
        </w:rPr>
        <w:t>V</w:t>
      </w:r>
      <w:r>
        <w:rPr>
          <w:rFonts w:cs="Liberation Serif" w:ascii="Liberation Serif" w:hAnsi="Liberation Serif"/>
          <w:b/>
          <w:bCs/>
          <w:sz w:val="24"/>
          <w:szCs w:val="24"/>
        </w:rPr>
        <w:t xml:space="preserve"> квартал 2023 года</w:t>
      </w:r>
    </w:p>
    <w:p>
      <w:pPr>
        <w:pStyle w:val="Normal"/>
        <w:jc w:val="center"/>
        <w:rPr>
          <w:rFonts w:ascii="Liberation Serif" w:hAnsi="Liberation Serif" w:cs="Liberation Serif"/>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3215"/>
      </w:tblGrid>
      <w:tr>
        <w:trPr>
          <w:trHeight w:val="1196" w:hRule="atLeast"/>
        </w:trPr>
        <w:tc>
          <w:tcPr>
            <w:tcW w:w="13215" w:type="dxa"/>
            <w:tcBorders/>
            <w:shd w:color="auto" w:fill="auto" w:val="clear"/>
          </w:tcPr>
          <w:p>
            <w:pPr>
              <w:pStyle w:val="Normal"/>
              <w:widowControl w:val="false"/>
              <w:jc w:val="center"/>
              <w:rPr>
                <w:rFonts w:ascii="Liberation Serif" w:hAnsi="Liberation Serif"/>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widowControl w:val="false"/>
              <w:jc w:val="center"/>
              <w:rPr>
                <w:rFonts w:ascii="Liberation Serif" w:hAnsi="Liberation Serif"/>
                <w:b/>
              </w:rPr>
            </w:pPr>
            <w:r>
              <w:rPr>
                <w:rFonts w:ascii="Liberation Serif" w:hAnsi="Liberation Serif"/>
                <w:b/>
              </w:rPr>
            </w:r>
          </w:p>
          <w:p>
            <w:pPr>
              <w:pStyle w:val="Normal"/>
              <w:widowControl w:val="false"/>
              <w:jc w:val="center"/>
              <w:rPr>
                <w:rFonts w:ascii="Liberation Serif" w:hAnsi="Liberation Serif"/>
                <w:b/>
                <w:sz w:val="24"/>
                <w:szCs w:val="24"/>
              </w:rPr>
            </w:pPr>
            <w:r>
              <w:rPr>
                <w:rFonts w:ascii="Liberation Serif" w:hAnsi="Liberation Serif"/>
                <w:b/>
                <w:sz w:val="24"/>
                <w:szCs w:val="24"/>
              </w:rPr>
            </w:r>
          </w:p>
          <w:p>
            <w:pPr>
              <w:pStyle w:val="Normal"/>
              <w:widowControl w:val="false"/>
              <w:jc w:val="center"/>
              <w:rPr>
                <w:rFonts w:ascii="Liberation Serif" w:hAnsi="Liberation Serif"/>
                <w:b/>
                <w:sz w:val="24"/>
                <w:szCs w:val="24"/>
              </w:rPr>
            </w:pPr>
            <w:r>
              <w:rPr>
                <w:rFonts w:ascii="Liberation Serif" w:hAnsi="Liberation Serif"/>
                <w:b/>
                <w:sz w:val="24"/>
                <w:szCs w:val="24"/>
              </w:rPr>
              <w:t>Отчет</w:t>
            </w:r>
          </w:p>
          <w:p>
            <w:pPr>
              <w:pStyle w:val="Normal"/>
              <w:widowControl w:val="false"/>
              <w:jc w:val="center"/>
              <w:rPr>
                <w:rFonts w:ascii="Liberation Serif" w:hAnsi="Liberation Serif"/>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widowControl w:val="false"/>
              <w:jc w:val="center"/>
              <w:rPr>
                <w:rFonts w:ascii="Liberation Serif" w:hAnsi="Liberation Serif"/>
                <w:b/>
                <w:sz w:val="24"/>
                <w:szCs w:val="24"/>
              </w:rPr>
            </w:pPr>
            <w:r>
              <w:rPr>
                <w:rFonts w:ascii="Liberation Serif" w:hAnsi="Liberation Serif"/>
                <w:b/>
                <w:sz w:val="24"/>
                <w:szCs w:val="24"/>
              </w:rPr>
              <w:t>по Камышловскому городскому округу</w:t>
            </w:r>
          </w:p>
          <w:p>
            <w:pPr>
              <w:pStyle w:val="Normal"/>
              <w:widowControl w:val="false"/>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Layout w:type="fixed"/>
        <w:tblCellMar>
          <w:top w:w="0" w:type="dxa"/>
          <w:left w:w="108" w:type="dxa"/>
          <w:bottom w:w="0" w:type="dxa"/>
          <w:right w:w="108" w:type="dxa"/>
        </w:tblCellMar>
        <w:tblLook w:val="04a0" w:noHBand="0" w:noVBand="1" w:firstColumn="1" w:lastRow="0" w:lastColumn="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w:t>
            </w:r>
          </w:p>
          <w:p>
            <w:pPr>
              <w:pStyle w:val="Normal"/>
              <w:widowControl w:val="false"/>
              <w:rPr>
                <w:rFonts w:ascii="Liberation Serif" w:hAnsi="Liberation Serif"/>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Срок</w:t>
            </w:r>
          </w:p>
          <w:p>
            <w:pPr>
              <w:pStyle w:val="Normal"/>
              <w:widowControl w:val="false"/>
              <w:jc w:val="center"/>
              <w:rPr>
                <w:rFonts w:ascii="Liberation Serif" w:hAnsi="Liberation Serif"/>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Ответственный</w:t>
            </w:r>
          </w:p>
          <w:p>
            <w:pPr>
              <w:pStyle w:val="Normal"/>
              <w:widowControl w:val="false"/>
              <w:jc w:val="center"/>
              <w:rPr>
                <w:rFonts w:ascii="Liberation Serif" w:hAnsi="Liberation Serif"/>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Координация работы членов рабочей группы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12</w:t>
            </w:r>
            <w:r>
              <w:rPr>
                <w:rFonts w:ascii="Liberation Serif" w:hAnsi="Liberation Serif"/>
                <w:sz w:val="22"/>
                <w:szCs w:val="22"/>
              </w:rPr>
              <w:t xml:space="preserve"> заседаний рабочей группы.</w:t>
            </w:r>
          </w:p>
          <w:p>
            <w:pPr>
              <w:pStyle w:val="Normal"/>
              <w:widowControl w:val="fals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127</w:t>
            </w:r>
            <w:r>
              <w:rPr>
                <w:rFonts w:ascii="Liberation Serif" w:hAnsi="Liberation Serif"/>
                <w:b/>
                <w:sz w:val="22"/>
                <w:szCs w:val="22"/>
              </w:rPr>
              <w:t xml:space="preserve"> </w:t>
            </w:r>
            <w:r>
              <w:rPr>
                <w:rFonts w:ascii="Liberation Serif" w:hAnsi="Liberation Serif"/>
                <w:sz w:val="22"/>
                <w:szCs w:val="22"/>
              </w:rPr>
              <w:t>человек.</w:t>
            </w:r>
          </w:p>
          <w:p>
            <w:pPr>
              <w:pStyle w:val="Normal"/>
              <w:widowControl w:val="false"/>
              <w:suppressAutoHyphens w:val="tru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56</w:t>
            </w:r>
            <w:r>
              <w:rPr>
                <w:rFonts w:ascii="Liberation Serif" w:hAnsi="Liberation Serif"/>
                <w:b/>
                <w:sz w:val="22"/>
                <w:szCs w:val="22"/>
              </w:rPr>
              <w:t xml:space="preserve"> </w:t>
            </w:r>
            <w:r>
              <w:rPr>
                <w:rFonts w:ascii="Liberation Serif" w:hAnsi="Liberation Serif"/>
                <w:sz w:val="22"/>
                <w:szCs w:val="22"/>
              </w:rPr>
              <w:t>организациям города.</w:t>
            </w:r>
          </w:p>
          <w:p>
            <w:pPr>
              <w:pStyle w:val="Normal"/>
              <w:widowControl w:val="false"/>
              <w:suppressAutoHyphens w:val="tru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ascii="Liberation Serif" w:hAnsi="Liberation Serif"/>
                <w:b/>
                <w:bCs/>
                <w:sz w:val="22"/>
                <w:szCs w:val="22"/>
              </w:rPr>
              <w:t>56</w:t>
            </w:r>
            <w:r>
              <w:rPr>
                <w:rFonts w:eastAsia="Times New Roman" w:cs="Times New Roman" w:ascii="Liberation Serif" w:hAnsi="Liberation Serif"/>
                <w:b/>
                <w:color w:val="auto"/>
                <w:kern w:val="0"/>
                <w:sz w:val="22"/>
                <w:szCs w:val="22"/>
                <w:lang w:val="ru-RU" w:eastAsia="ru-RU" w:bidi="ar-SA"/>
              </w:rPr>
              <w:t xml:space="preserve"> </w:t>
            </w:r>
            <w:r>
              <w:rPr>
                <w:rFonts w:ascii="Liberation Serif" w:hAnsi="Liberation Serif"/>
                <w:sz w:val="22"/>
                <w:szCs w:val="22"/>
              </w:rPr>
              <w:t>организаций.</w:t>
            </w:r>
          </w:p>
          <w:p>
            <w:pPr>
              <w:pStyle w:val="Normal"/>
              <w:widowControl w:val="fals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социальным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Фонд Пенсионного и Социального страхования РФ (далее -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 w:val="22"/>
                <w:szCs w:val="22"/>
              </w:rPr>
              <w:t>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w:t>
            </w:r>
          </w:p>
          <w:p>
            <w:pPr>
              <w:pStyle w:val="Normal"/>
              <w:widowControl w:val="false"/>
              <w:jc w:val="both"/>
              <w:rPr/>
            </w:pPr>
            <w:r>
              <w:rPr>
                <w:rFonts w:ascii="Liberation Serif" w:hAnsi="Liberation Serif"/>
                <w:sz w:val="22"/>
                <w:szCs w:val="22"/>
              </w:rPr>
              <w:t>26.07.2023 на заседании рабочей группы были рассмотрены 8 работодателей, выплачивающих заработную плату ниже размера минимальной заработной платы.</w:t>
            </w:r>
          </w:p>
          <w:p>
            <w:pPr>
              <w:pStyle w:val="Normal"/>
              <w:widowControl w:val="false"/>
              <w:suppressAutoHyphens w:val="true"/>
              <w:spacing w:before="0" w:after="0"/>
              <w:contextualSpacing/>
              <w:jc w:val="both"/>
              <w:rPr>
                <w:rFonts w:ascii="Liberation Serif" w:hAnsi="Liberation Serif"/>
                <w:sz w:val="22"/>
                <w:szCs w:val="22"/>
              </w:rPr>
            </w:pPr>
            <w:r>
              <w:rPr>
                <w:rFonts w:ascii="Liberation Serif" w:hAnsi="Liberation Serif"/>
                <w:sz w:val="22"/>
                <w:szCs w:val="22"/>
              </w:rPr>
              <w:t>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территории Камышловского городского округа осуществляют деятельность 6 ИП, которые занимаются лесозаготовительной деятельностью. </w:t>
            </w:r>
            <w:r>
              <w:rPr>
                <w:rFonts w:ascii="Liberation Serif" w:hAnsi="Liberation Serif"/>
                <w:sz w:val="22"/>
                <w:szCs w:val="22"/>
                <w:shd w:fill="auto" w:val="clear"/>
              </w:rPr>
              <w:t>Проведена сверка всех ИП, фактов неформальной занятости нет.</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«Камышловские известия», на сайте Камышловского городского округа и в социальных сетях, рабочих совещаний с руководителями организаций и распространения печатной продукции «Обманный путь»..</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Социальный фонд России;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w:t>
            </w:r>
            <w:r>
              <w:rPr>
                <w:rFonts w:ascii="Liberation Serif" w:hAnsi="Liberation Serif"/>
                <w:color w:val="000000"/>
                <w:sz w:val="22"/>
                <w:szCs w:val="22"/>
              </w:rPr>
              <w:t>.</w:t>
            </w:r>
          </w:p>
          <w:p>
            <w:pPr>
              <w:pStyle w:val="Normal"/>
              <w:widowControl w:val="false"/>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муниципальные учреждения Камышловского городского округа, информационные стенды на предприятиях</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p>
            <w:pPr>
              <w:pStyle w:val="Normal"/>
              <w:widowControl w:val="false"/>
              <w:jc w:val="both"/>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2"/>
                <w:szCs w:val="22"/>
              </w:rPr>
            </w:pPr>
            <w:r>
              <w:rPr>
                <w:rFonts w:ascii="Liberation Serif" w:hAnsi="Liberation Serif"/>
                <w:sz w:val="22"/>
                <w:szCs w:val="22"/>
              </w:rPr>
              <w:t xml:space="preserve">МИФНС №19 по СО ежегодно направляет в администрацию КГО список </w:t>
            </w:r>
            <w:r>
              <w:rPr>
                <w:rFonts w:eastAsia="Times New Roman" w:cs="Times New Roman" w:ascii="Liberation Serif" w:hAnsi="Liberation Serif"/>
                <w:color w:val="auto"/>
                <w:kern w:val="0"/>
                <w:sz w:val="22"/>
                <w:szCs w:val="22"/>
                <w:lang w:val="ru-RU" w:eastAsia="ru-RU" w:bidi="ar-SA"/>
              </w:rPr>
              <w:t>работодателей</w:t>
            </w:r>
            <w:r>
              <w:rPr>
                <w:rFonts w:ascii="Liberation Serif" w:hAnsi="Liberation Serif"/>
                <w:sz w:val="22"/>
                <w:szCs w:val="22"/>
              </w:rPr>
              <w:t>, выплачивающих зарплату ниже МРОТ, для  заслушивания руководителей организаций на заседании рабочей группы.</w:t>
            </w:r>
          </w:p>
          <w:p>
            <w:pPr>
              <w:pStyle w:val="Normal"/>
              <w:widowControl w:val="false"/>
              <w:suppressAutoHyphens w:val="true"/>
              <w:jc w:val="both"/>
              <w:rPr>
                <w:sz w:val="22"/>
                <w:szCs w:val="22"/>
              </w:rPr>
            </w:pPr>
            <w:r>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Социальном фонде России, Центре занятости,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Работодателям на заседаниях рабочей группы рекомендовано, в</w:t>
            </w:r>
            <w:r>
              <w:rPr>
                <w:rFonts w:ascii="Liberation Serif" w:hAnsi="Liberation Serif"/>
                <w:sz w:val="22"/>
                <w:szCs w:val="22"/>
              </w:rPr>
              <w:t xml:space="preserve">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Создание условий для ведения бизнеса, при которых исключена или затруднена возможность</w:t>
            </w:r>
          </w:p>
          <w:p>
            <w:pPr>
              <w:pStyle w:val="Normal"/>
              <w:widowControl w:val="false"/>
              <w:jc w:val="center"/>
              <w:rPr>
                <w:rFonts w:ascii="Liberation Serif" w:hAnsi="Liberation Serif"/>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Инициирование процедуры банкротства для предприятий - «должников» по выплатам во внебюджетные фонды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Социального фонда России,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Правительством Свердловской области установлено рекомендуемое значение показателя,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 на 202</w:t>
            </w:r>
            <w:r>
              <w:rPr>
                <w:rFonts w:ascii="Liberation Serif" w:hAnsi="Liberation Serif"/>
                <w:sz w:val="22"/>
                <w:szCs w:val="22"/>
              </w:rPr>
              <w:t>3</w:t>
            </w:r>
            <w:r>
              <w:rPr>
                <w:rFonts w:ascii="Liberation Serif" w:hAnsi="Liberation Serif"/>
                <w:sz w:val="22"/>
                <w:szCs w:val="22"/>
              </w:rPr>
              <w:t xml:space="preserve"> год в количестве 11</w:t>
            </w:r>
            <w:r>
              <w:rPr>
                <w:rFonts w:ascii="Liberation Serif" w:hAnsi="Liberation Serif"/>
                <w:sz w:val="22"/>
                <w:szCs w:val="22"/>
              </w:rPr>
              <w:t>7</w:t>
            </w:r>
            <w:r>
              <w:rPr>
                <w:rFonts w:ascii="Liberation Serif" w:hAnsi="Liberation Serif"/>
                <w:sz w:val="22"/>
                <w:szCs w:val="22"/>
              </w:rPr>
              <w:t xml:space="preserve"> человек.</w:t>
            </w:r>
          </w:p>
          <w:p>
            <w:pPr>
              <w:pStyle w:val="Normal"/>
              <w:widowControl w:val="false"/>
              <w:jc w:val="both"/>
              <w:rPr>
                <w:rFonts w:ascii="Liberation Serif" w:hAnsi="Liberation Serif"/>
                <w:sz w:val="22"/>
                <w:szCs w:val="22"/>
              </w:rPr>
            </w:pPr>
            <w:r>
              <w:rPr>
                <w:rFonts w:ascii="Liberation Serif" w:hAnsi="Liberation Serif"/>
                <w:sz w:val="22"/>
                <w:szCs w:val="22"/>
              </w:rPr>
              <w:t xml:space="preserve">Факт по состоянию на отчетную дату составляет </w:t>
            </w:r>
            <w:r>
              <w:rPr>
                <w:rFonts w:ascii="Liberation Serif" w:hAnsi="Liberation Serif"/>
                <w:sz w:val="22"/>
                <w:szCs w:val="22"/>
              </w:rPr>
              <w:t>127</w:t>
            </w:r>
            <w:r>
              <w:rPr>
                <w:rFonts w:ascii="Liberation Serif" w:hAnsi="Liberation Serif"/>
                <w:sz w:val="22"/>
                <w:szCs w:val="22"/>
              </w:rPr>
              <w:t xml:space="preserve"> человек (</w:t>
            </w:r>
            <w:r>
              <w:rPr>
                <w:rFonts w:ascii="Liberation Serif" w:hAnsi="Liberation Serif"/>
                <w:sz w:val="22"/>
                <w:szCs w:val="22"/>
              </w:rPr>
              <w:t>показатель выполнен на 10</w:t>
            </w:r>
            <w:r>
              <w:rPr>
                <w:rFonts w:ascii="Liberation Serif" w:hAnsi="Liberation Serif"/>
                <w:sz w:val="22"/>
                <w:szCs w:val="22"/>
              </w:rPr>
              <w:t>8,</w:t>
            </w:r>
            <w:r>
              <w:rPr>
                <w:rFonts w:ascii="Liberation Serif" w:hAnsi="Liberation Serif"/>
                <w:sz w:val="22"/>
                <w:szCs w:val="22"/>
              </w:rPr>
              <w:t>5</w:t>
            </w:r>
            <w:r>
              <w:rPr>
                <w:rFonts w:ascii="Liberation Serif" w:hAnsi="Liberation Serif"/>
                <w:sz w:val="22"/>
                <w:szCs w:val="22"/>
              </w:rPr>
              <w:t>%).</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val="false"/>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widowControl w:val="false"/>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информация о работе по вопросам неформальной занятости в сфере торговли, общественного питания и бытовых услуг;</w:t>
            </w:r>
          </w:p>
          <w:p>
            <w:pPr>
              <w:pStyle w:val="ListParagraph"/>
              <w:widowControl w:val="false"/>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widowControl w:val="false"/>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выплаты заработной платы ниже минимального размера оплаты труда;</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r>
    </w:p>
    <w:sectPr>
      <w:headerReference w:type="default" r:id="rId2"/>
      <w:type w:val="nextPage"/>
      <w:pgSz w:orient="landscape" w:w="16838" w:h="11906"/>
      <w:pgMar w:left="1134" w:right="709" w:gutter="0" w:header="709"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15901081"/>
    </w:sdtPr>
    <w:sdtContent>
      <w:p>
        <w:pPr>
          <w:pStyle w:val="Style27"/>
          <w:jc w:val="center"/>
          <w:rPr/>
        </w:pPr>
        <w:r>
          <w:rPr/>
          <w:fldChar w:fldCharType="begin"/>
        </w:r>
        <w:r>
          <w:rPr/>
          <w:instrText xml:space="preserve"> PAGE </w:instrText>
        </w:r>
        <w:r>
          <w:rPr/>
          <w:fldChar w:fldCharType="separate"/>
        </w:r>
        <w:r>
          <w:rPr/>
          <w:t>7</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uiPriority w:val="99"/>
    <w:semiHidden/>
    <w:qFormat/>
    <w:rsid w:val="00981a6c"/>
    <w:rPr>
      <w:rFonts w:ascii="Times New Roman" w:hAnsi="Times New Roman" w:eastAsia="Times New Roman" w:cs="Times New Roman"/>
      <w:sz w:val="20"/>
      <w:szCs w:val="20"/>
      <w:lang w:eastAsia="ru-RU"/>
    </w:rPr>
  </w:style>
  <w:style w:type="character" w:styleId="Style18">
    <w:name w:val="Символ концевой сноски"/>
    <w:qFormat/>
    <w:rPr>
      <w:vertAlign w:val="superscript"/>
    </w:rPr>
  </w:style>
  <w:style w:type="character" w:styleId="Style19">
    <w:name w:val="Endnote Reference"/>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5">
    <w:name w:val="Верхний и нижний колонтитулы"/>
    <w:basedOn w:val="Normal"/>
    <w:qFormat/>
    <w:pPr/>
    <w:rPr/>
  </w:style>
  <w:style w:type="paragraph" w:styleId="Style26">
    <w:name w:val="Колонтитул"/>
    <w:basedOn w:val="Normal"/>
    <w:qFormat/>
    <w:pPr/>
    <w:rPr/>
  </w:style>
  <w:style w:type="paragraph" w:styleId="Style27">
    <w:name w:val="Header"/>
    <w:basedOn w:val="Normal"/>
    <w:uiPriority w:val="99"/>
    <w:unhideWhenUsed/>
    <w:rsid w:val="00915513"/>
    <w:pPr>
      <w:tabs>
        <w:tab w:val="clear" w:pos="709"/>
        <w:tab w:val="center" w:pos="4677" w:leader="none"/>
        <w:tab w:val="right" w:pos="9355" w:leader="none"/>
      </w:tabs>
    </w:pPr>
    <w:rPr/>
  </w:style>
  <w:style w:type="paragraph" w:styleId="Style28">
    <w:name w:val="Footer"/>
    <w:basedOn w:val="Normal"/>
    <w:uiPriority w:val="99"/>
    <w:unhideWhenUsed/>
    <w:rsid w:val="00915513"/>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817eb9"/>
    <w:pPr/>
    <w:rPr>
      <w:rFonts w:ascii="Segoe UI" w:hAnsi="Segoe UI" w:cs="Segoe UI"/>
      <w:sz w:val="18"/>
      <w:szCs w:val="18"/>
    </w:rPr>
  </w:style>
  <w:style w:type="paragraph" w:styleId="Style29">
    <w:name w:val="Endnote Text"/>
    <w:basedOn w:val="Normal"/>
    <w:uiPriority w:val="99"/>
    <w:semiHidden/>
    <w:unhideWhenUsed/>
    <w:rsid w:val="00981a6c"/>
    <w:pPr/>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Application>LibreOffice/7.5.6.2$Linux_X86_64 LibreOffice_project/50$Build-2</Application>
  <AppVersion>15.0000</AppVersion>
  <Pages>7</Pages>
  <Words>1711</Words>
  <Characters>13026</Characters>
  <CharactersWithSpaces>14577</CharactersWithSpaces>
  <Paragraphs>163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2023-12-20T16:29:43Z</cp:lastPrinted>
  <dcterms:modified xsi:type="dcterms:W3CDTF">2023-12-20T16:29:45Z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