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40" w:before="0" w:after="0"/>
        <w:jc w:val="center"/>
        <w:rPr/>
      </w:pPr>
      <w:r>
        <w:rPr>
          <w:rStyle w:val="Style11"/>
          <w:rFonts w:cs="Times New Roman" w:ascii="Liberation Serif" w:hAnsi="Liberation Serif"/>
        </w:rPr>
        <w:drawing>
          <wp:inline distT="0" distB="0" distL="0" distR="0">
            <wp:extent cx="396240" cy="60198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1"/>
          <w:rFonts w:cs="Times New Roman" w:ascii="Liberation Serif" w:hAnsi="Liberation Serif"/>
          <w:sz w:val="28"/>
          <w:szCs w:val="28"/>
        </w:rPr>
        <w:t xml:space="preserve"> </w:t>
      </w:r>
    </w:p>
    <w:p>
      <w:pPr>
        <w:pStyle w:val="Style19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19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Style19"/>
        <w:pBdr>
          <w:top w:val="double" w:sz="12" w:space="1" w:color="000000"/>
        </w:pBdr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Style19"/>
        <w:tabs>
          <w:tab w:val="clear" w:pos="708"/>
          <w:tab w:val="center" w:pos="4819" w:leader="none"/>
          <w:tab w:val="right" w:pos="9638" w:leader="none"/>
        </w:tabs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Style w:val="Style11"/>
          <w:rFonts w:cs="Times New Roman" w:ascii="Liberation Serif" w:hAnsi="Liberation Serif"/>
          <w:b/>
          <w:bCs/>
          <w:sz w:val="28"/>
          <w:szCs w:val="28"/>
        </w:rPr>
        <w:t xml:space="preserve">от </w:t>
      </w:r>
      <w:r>
        <w:rPr>
          <w:rStyle w:val="Style11"/>
          <w:rFonts w:eastAsia="Times New Roman" w:cs="Times New Roman" w:ascii="Liberation Serif" w:hAnsi="Liberation Serif"/>
          <w:b/>
          <w:bCs/>
          <w:sz w:val="28"/>
          <w:szCs w:val="28"/>
        </w:rPr>
        <w:t>1</w:t>
      </w:r>
      <w:r>
        <w:rPr>
          <w:rStyle w:val="Style11"/>
          <w:rFonts w:eastAsia="Times New Roman" w:cs="Times New Roman" w:ascii="Liberation Serif" w:hAnsi="Liberation Serif"/>
          <w:b/>
          <w:bCs/>
          <w:sz w:val="28"/>
          <w:szCs w:val="28"/>
        </w:rPr>
        <w:t>5</w:t>
      </w:r>
      <w:r>
        <w:rPr>
          <w:rStyle w:val="Style11"/>
          <w:rFonts w:cs="Times New Roman" w:ascii="Liberation Serif" w:hAnsi="Liberation Serif"/>
          <w:b/>
          <w:bCs/>
          <w:sz w:val="28"/>
          <w:szCs w:val="28"/>
        </w:rPr>
        <w:t xml:space="preserve">.06.2022    № </w:t>
      </w:r>
      <w:r>
        <w:rPr>
          <w:rStyle w:val="Style11"/>
          <w:rFonts w:eastAsia="Times New Roman" w:cs="Times New Roman" w:ascii="Liberation Serif" w:hAnsi="Liberation Serif"/>
          <w:b/>
          <w:bCs/>
          <w:sz w:val="28"/>
          <w:szCs w:val="28"/>
        </w:rPr>
        <w:t>4</w:t>
      </w:r>
      <w:r>
        <w:rPr>
          <w:rStyle w:val="Style11"/>
          <w:rFonts w:eastAsia="Times New Roman" w:cs="Times New Roman" w:ascii="Liberation Serif" w:hAnsi="Liberation Serif"/>
          <w:b/>
          <w:bCs/>
          <w:sz w:val="28"/>
          <w:szCs w:val="28"/>
        </w:rPr>
        <w:t>9</w:t>
      </w:r>
      <w:r>
        <w:rPr>
          <w:rStyle w:val="Style11"/>
          <w:rFonts w:eastAsia="Times New Roman" w:cs="Times New Roman" w:ascii="Liberation Serif" w:hAnsi="Liberation Serif"/>
          <w:b/>
          <w:bCs/>
          <w:sz w:val="28"/>
          <w:szCs w:val="28"/>
        </w:rPr>
        <w:t>3</w:t>
      </w:r>
    </w:p>
    <w:p>
      <w:pPr>
        <w:pStyle w:val="Style19"/>
        <w:widowControl w:val="false"/>
        <w:autoSpaceDE w:val="false"/>
        <w:jc w:val="center"/>
        <w:rPr>
          <w:rStyle w:val="Style11"/>
          <w:rFonts w:ascii="Liberation Serif" w:hAnsi="Liberation Serif"/>
          <w:b/>
          <w:b/>
          <w:bCs/>
          <w:szCs w:val="28"/>
        </w:rPr>
      </w:pPr>
      <w:r>
        <w:rPr/>
      </w:r>
    </w:p>
    <w:p>
      <w:pPr>
        <w:pStyle w:val="Style19"/>
        <w:widowControl w:val="false"/>
        <w:autoSpaceDE w:val="false"/>
        <w:jc w:val="center"/>
        <w:rPr/>
      </w:pPr>
      <w:r>
        <w:rPr>
          <w:rStyle w:val="Style11"/>
          <w:rFonts w:ascii="Liberation Serif" w:hAnsi="Liberation Serif"/>
          <w:b/>
          <w:bCs/>
          <w:szCs w:val="28"/>
        </w:rPr>
        <w:t xml:space="preserve">О внесении изменений в </w:t>
      </w:r>
      <w:r>
        <w:rPr>
          <w:rStyle w:val="Style11"/>
          <w:rFonts w:ascii="Liberation Serif" w:hAnsi="Liberation Serif"/>
          <w:b/>
        </w:rPr>
        <w:t>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2027 года»,</w:t>
      </w:r>
    </w:p>
    <w:p>
      <w:pPr>
        <w:pStyle w:val="Style19"/>
        <w:widowControl w:val="false"/>
        <w:autoSpaceDE w:val="false"/>
        <w:jc w:val="center"/>
        <w:rPr/>
      </w:pPr>
      <w:r>
        <w:rPr>
          <w:rStyle w:val="Style11"/>
          <w:rFonts w:ascii="Liberation Serif" w:hAnsi="Liberation Serif"/>
          <w:b/>
        </w:rPr>
        <w:t xml:space="preserve"> </w:t>
      </w:r>
      <w:r>
        <w:rPr>
          <w:rStyle w:val="Style11"/>
          <w:rFonts w:ascii="Liberation Serif" w:hAnsi="Liberation Serif"/>
          <w:b/>
        </w:rPr>
        <w:t xml:space="preserve">утверждённую постановлением главы Камышловского городского округа </w:t>
      </w:r>
    </w:p>
    <w:p>
      <w:pPr>
        <w:pStyle w:val="Style19"/>
        <w:widowControl w:val="false"/>
        <w:autoSpaceDE w:val="false"/>
        <w:jc w:val="center"/>
        <w:rPr/>
      </w:pPr>
      <w:r>
        <w:rPr>
          <w:rStyle w:val="Style11"/>
          <w:rFonts w:ascii="Liberation Serif" w:hAnsi="Liberation Serif"/>
          <w:b/>
        </w:rPr>
        <w:t xml:space="preserve">от 14 ноября 2018 года </w:t>
      </w:r>
      <w:r>
        <w:rPr>
          <w:rStyle w:val="Style11"/>
          <w:rFonts w:eastAsia="Calibri" w:ascii="Liberation Serif" w:hAnsi="Liberation Serif"/>
          <w:b/>
          <w:color w:val="000000"/>
          <w:szCs w:val="28"/>
        </w:rPr>
        <w:t>№</w:t>
      </w:r>
      <w:r>
        <w:rPr>
          <w:rStyle w:val="Style11"/>
          <w:rFonts w:ascii="Liberation Serif" w:hAnsi="Liberation Serif"/>
          <w:b/>
        </w:rPr>
        <w:t xml:space="preserve"> 982 (с изменениями внесенными постановлениями главы Камышловского городского округа от 21.03.2022 №242, от 02.02.2022 №83, от 30.12.2021 №1029, от 17.11.2021 №843, </w:t>
      </w:r>
    </w:p>
    <w:p>
      <w:pPr>
        <w:pStyle w:val="Style19"/>
        <w:widowControl w:val="false"/>
        <w:autoSpaceDE w:val="false"/>
        <w:jc w:val="center"/>
        <w:rPr/>
      </w:pPr>
      <w:r>
        <w:rPr>
          <w:rStyle w:val="Style11"/>
          <w:rFonts w:ascii="Liberation Serif" w:hAnsi="Liberation Serif"/>
          <w:b/>
        </w:rPr>
        <w:t xml:space="preserve">от 31.08.2021 №611, от 07.07.2021 № 472, от 02.06.2021 №371, от 09.04.2021 №246, от 08.02.2021 №93, от 19.01.2021 №31, от 24.04.2020 № 274, </w:t>
      </w:r>
    </w:p>
    <w:p>
      <w:pPr>
        <w:pStyle w:val="Style19"/>
        <w:widowControl w:val="false"/>
        <w:autoSpaceDE w:val="false"/>
        <w:jc w:val="center"/>
        <w:rPr/>
      </w:pPr>
      <w:r>
        <w:rPr>
          <w:rStyle w:val="Style11"/>
          <w:rFonts w:ascii="Liberation Serif" w:hAnsi="Liberation Serif"/>
          <w:b/>
        </w:rPr>
        <w:t>от 20.01.2020 № 27, от 28.12.2018 года № 1196)</w:t>
      </w:r>
    </w:p>
    <w:p>
      <w:pPr>
        <w:pStyle w:val="Style19"/>
        <w:shd w:fill="FFFFFF" w:val="clear"/>
        <w:tabs>
          <w:tab w:val="clear" w:pos="708"/>
          <w:tab w:val="left" w:pos="142" w:leader="none"/>
        </w:tabs>
        <w:ind w:left="0" w:right="-34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19"/>
        <w:tabs>
          <w:tab w:val="clear" w:pos="708"/>
          <w:tab w:val="left" w:pos="7200" w:leader="none"/>
          <w:tab w:val="center" w:pos="7773" w:leader="none"/>
        </w:tabs>
        <w:ind w:left="0" w:right="0" w:firstLine="567"/>
        <w:jc w:val="both"/>
        <w:rPr/>
      </w:pPr>
      <w:r>
        <w:rPr>
          <w:rStyle w:val="Style11"/>
          <w:rFonts w:ascii="Liberation Serif" w:hAnsi="Liberation Serif"/>
          <w:szCs w:val="28"/>
        </w:rPr>
        <w:t xml:space="preserve">В соответствии с Государственной программой Свердловской области «Развитие системы образования в Свердловской области до 2025 года», утвержденной Постановлением Правительства Свердловской области от 19.12.2019 № 920-ПП, </w:t>
      </w:r>
      <w:r>
        <w:rPr>
          <w:rStyle w:val="Style11"/>
          <w:szCs w:val="28"/>
        </w:rPr>
        <w:t xml:space="preserve">решением Думы Камышловского городского округа от 21.04.2022 №92, от 26.05.2022 №107 «О внесении изменений в решение Думы КГО от 16.12.2021 №45 «О бюджете КГО на 2022 год и плановый период 2023 и 2024 годов», </w:t>
      </w:r>
      <w:r>
        <w:rPr>
          <w:rStyle w:val="Style11"/>
          <w:rFonts w:ascii="Liberation Serif" w:hAnsi="Liberation Serif"/>
          <w:szCs w:val="28"/>
        </w:rPr>
        <w:t>администрация Камышловского городского округа</w:t>
      </w:r>
    </w:p>
    <w:p>
      <w:pPr>
        <w:pStyle w:val="Style19"/>
        <w:shd w:fill="FFFFFF" w:val="clear"/>
        <w:tabs>
          <w:tab w:val="clear" w:pos="708"/>
          <w:tab w:val="left" w:pos="142" w:leader="none"/>
          <w:tab w:val="left" w:pos="5400" w:leader="none"/>
        </w:tabs>
        <w:ind w:left="0" w:right="-34" w:hanging="0"/>
        <w:jc w:val="both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ПОСТАНОВЛЯЕТ:</w:t>
      </w:r>
    </w:p>
    <w:p>
      <w:pPr>
        <w:pStyle w:val="Style19"/>
        <w:widowControl w:val="false"/>
        <w:autoSpaceDE w:val="false"/>
        <w:ind w:left="0" w:right="0" w:firstLine="708"/>
        <w:jc w:val="both"/>
        <w:rPr/>
      </w:pPr>
      <w:r>
        <w:rPr>
          <w:rStyle w:val="Style11"/>
          <w:rFonts w:ascii="Liberation Serif" w:hAnsi="Liberation Serif"/>
        </w:rPr>
        <w:t>1. Внести в 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2027 года» (далее - Программа), утверждённую постановлением главы Камышловского городского округа от 14 ноября 2018 года № 982 (с изменениями, внесенными постановлениями администрации Камышловского городского округа</w:t>
      </w:r>
      <w:r>
        <w:rPr/>
        <w:t xml:space="preserve"> от 21.03.2022 №242, от 02.02.2022 №83, </w:t>
      </w:r>
      <w:r>
        <w:rPr>
          <w:rStyle w:val="Style11"/>
          <w:rFonts w:ascii="Liberation Serif" w:hAnsi="Liberation Serif"/>
        </w:rPr>
        <w:t xml:space="preserve">от 30.12.2021 №1029, </w:t>
      </w:r>
      <w:r>
        <w:rPr/>
        <w:t xml:space="preserve"> </w:t>
      </w:r>
      <w:r>
        <w:rPr>
          <w:rStyle w:val="Style11"/>
          <w:rFonts w:ascii="Liberation Serif" w:hAnsi="Liberation Serif"/>
        </w:rPr>
        <w:t>от 17.11.2021 №843,  от 31.08.2021 №611, от 07.07.2021 № 472, от 02.06.2021 №371, от 09.04.2021 №246, от 08.02.2021 № 93, от 19.01.2021 года №31, от 20.01.2020 № 27, 24.04.2020 № 274, 28.12.2018 года № 1196,), следующие изменения:</w:t>
      </w:r>
    </w:p>
    <w:p>
      <w:pPr>
        <w:pStyle w:val="Style19"/>
        <w:widowControl w:val="false"/>
        <w:autoSpaceDE w:val="false"/>
        <w:ind w:left="0" w:right="0"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 В паспорте Программы:</w:t>
      </w:r>
    </w:p>
    <w:p>
      <w:pPr>
        <w:pStyle w:val="Style19"/>
        <w:widowControl w:val="false"/>
        <w:autoSpaceDE w:val="false"/>
        <w:ind w:left="0" w:right="0"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1.1.1. Строку «Объемы финансирования Программы по годам реализации, рублей» изложить в новой редакции:</w:t>
      </w:r>
    </w:p>
    <w:tbl>
      <w:tblPr>
        <w:tblW w:w="9781" w:type="dxa"/>
        <w:jc w:val="left"/>
        <w:tblInd w:w="70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4820"/>
        <w:gridCol w:w="4961"/>
      </w:tblGrid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ВСЕГО:  5 618 097 184,70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–789 609 277,62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–837 646 352,08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–811 140 197,00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–833 732 852,00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–753 954 290,00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–782 820 656,00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–809 193 560,00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них: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бюджет: 2 877 950 736,00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–384 603 209,00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–414 465 500,00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–422 926 300,00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–431 048 200,00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–394 354 642,00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–409 319 024,00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–421 233 861,00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бюджет: 132 107 400,00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–32 375 100,00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–33 720 300,00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–32 739 000,00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–33 273 000,00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–0,00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бюджет: 2 608 039 048,70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–372 630 968,62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–389 460 552,08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–355 474 897,00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–369 411 652,00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–359 599 648,00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–373 501 632,00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–387 959 699,00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источники: 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 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–0,00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–0,00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2027 год –0,00</w:t>
            </w:r>
            <w:r>
              <w:rPr>
                <w:rStyle w:val="Style11"/>
                <w:rFonts w:ascii="Liberation Serif" w:hAnsi="Liberation Serif"/>
                <w:b/>
              </w:rPr>
              <w:t xml:space="preserve"> </w:t>
            </w:r>
          </w:p>
        </w:tc>
      </w:tr>
    </w:tbl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ab/>
        <w:t xml:space="preserve">                                                                   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2. Приложение №1 «Цели, задачи и целевые показатели» реализации Муниципальной программы «Развитие образования, культуры, спорта и молодежной политики в Камышловском городском округе до 2027 года» изложить в новой редакции (прилагается).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3. Приложение №2 План мероприятий по выполнению муниципальной программы «Развитие образования, культуры, спорта и молодежной политики в Камышловском городском округе до 2027 года» изложить в новой редакции (прилагается).</w:t>
      </w:r>
    </w:p>
    <w:p>
      <w:pPr>
        <w:pStyle w:val="Style19"/>
        <w:ind w:left="0" w:right="0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 Настоящее постановление опубликовать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5. Контроль за исполнением настоящего постановления возложить на заместителя главы администрации Камышловского городского округа          Соболеву А.А.</w:t>
      </w:r>
    </w:p>
    <w:p>
      <w:pPr>
        <w:pStyle w:val="Style1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19"/>
        <w:tabs>
          <w:tab w:val="clear" w:pos="708"/>
          <w:tab w:val="left" w:pos="900" w:leader="none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19"/>
        <w:tabs>
          <w:tab w:val="clear" w:pos="708"/>
          <w:tab w:val="left" w:pos="900" w:leader="none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Глава</w:t>
      </w:r>
    </w:p>
    <w:p>
      <w:pPr>
        <w:pStyle w:val="Style19"/>
        <w:tabs>
          <w:tab w:val="clear" w:pos="708"/>
          <w:tab w:val="left" w:pos="900" w:leader="none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Камышловского городского округа                                                   </w:t>
      </w:r>
      <w:r>
        <w:rPr>
          <w:rFonts w:ascii="Liberation Serif" w:hAnsi="Liberation Serif"/>
          <w:szCs w:val="28"/>
        </w:rPr>
        <w:t>А.В. Половников</w:t>
      </w:r>
    </w:p>
    <w:p>
      <w:pPr>
        <w:pStyle w:val="Style19"/>
        <w:jc w:val="both"/>
        <w:rPr>
          <w:szCs w:val="28"/>
        </w:rPr>
      </w:pPr>
      <w:r>
        <w:rPr>
          <w:szCs w:val="28"/>
        </w:rPr>
      </w:r>
    </w:p>
    <w:p>
      <w:pPr>
        <w:pStyle w:val="Style19"/>
        <w:tabs>
          <w:tab w:val="clear" w:pos="708"/>
          <w:tab w:val="left" w:pos="720" w:leader="none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19"/>
        <w:tabs>
          <w:tab w:val="clear" w:pos="708"/>
          <w:tab w:val="left" w:pos="720" w:leader="none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19"/>
        <w:tabs>
          <w:tab w:val="clear" w:pos="708"/>
          <w:tab w:val="left" w:pos="720" w:leader="none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19"/>
        <w:tabs>
          <w:tab w:val="clear" w:pos="708"/>
          <w:tab w:val="left" w:pos="720" w:leader="none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600" w:charSpace="40960"/>
        </w:sectPr>
        <w:pStyle w:val="Style19"/>
        <w:tabs>
          <w:tab w:val="clear" w:pos="708"/>
          <w:tab w:val="left" w:pos="720" w:leader="none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tbl>
      <w:tblPr>
        <w:tblW w:w="1496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"/>
        <w:gridCol w:w="643"/>
        <w:gridCol w:w="340"/>
        <w:gridCol w:w="340"/>
        <w:gridCol w:w="340"/>
        <w:gridCol w:w="236"/>
        <w:gridCol w:w="236"/>
        <w:gridCol w:w="236"/>
        <w:gridCol w:w="12358"/>
      </w:tblGrid>
      <w:tr>
        <w:trPr>
          <w:trHeight w:val="1399" w:hRule="atLeast"/>
        </w:trPr>
        <w:tc>
          <w:tcPr>
            <w:tcW w:w="238" w:type="dxa"/>
            <w:tcBorders/>
            <w:vAlign w:val="bottom"/>
          </w:tcPr>
          <w:p>
            <w:pPr>
              <w:pStyle w:val="Style19"/>
              <w:spacing w:lineRule="auto" w:line="254" w:before="0" w:after="160"/>
              <w:rPr>
                <w:sz w:val="2"/>
                <w:szCs w:val="22"/>
                <w:lang w:eastAsia="en-US"/>
              </w:rPr>
            </w:pPr>
            <w:r>
              <w:rPr>
                <w:sz w:val="2"/>
                <w:szCs w:val="22"/>
                <w:lang w:eastAsia="en-US"/>
              </w:rPr>
            </w:r>
          </w:p>
        </w:tc>
        <w:tc>
          <w:tcPr>
            <w:tcW w:w="643" w:type="dxa"/>
            <w:tcBorders/>
            <w:vAlign w:val="bottom"/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</w:p>
        </w:tc>
        <w:tc>
          <w:tcPr>
            <w:tcW w:w="340" w:type="dxa"/>
            <w:tcBorders/>
            <w:vAlign w:val="bottom"/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</w:p>
        </w:tc>
        <w:tc>
          <w:tcPr>
            <w:tcW w:w="340" w:type="dxa"/>
            <w:tcBorders/>
            <w:vAlign w:val="bottom"/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</w:p>
        </w:tc>
        <w:tc>
          <w:tcPr>
            <w:tcW w:w="340" w:type="dxa"/>
            <w:tcBorders/>
            <w:vAlign w:val="bottom"/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</w:p>
        </w:tc>
        <w:tc>
          <w:tcPr>
            <w:tcW w:w="236" w:type="dxa"/>
            <w:tcBorders/>
            <w:vAlign w:val="center"/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</w:p>
        </w:tc>
        <w:tc>
          <w:tcPr>
            <w:tcW w:w="236" w:type="dxa"/>
            <w:tcBorders/>
            <w:vAlign w:val="center"/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</w:p>
        </w:tc>
        <w:tc>
          <w:tcPr>
            <w:tcW w:w="236" w:type="dxa"/>
            <w:tcBorders/>
            <w:vAlign w:val="center"/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</w:p>
        </w:tc>
        <w:tc>
          <w:tcPr>
            <w:tcW w:w="12358" w:type="dxa"/>
            <w:tcBorders/>
            <w:vAlign w:val="center"/>
          </w:tcPr>
          <w:p>
            <w:pPr>
              <w:pStyle w:val="Style19"/>
              <w:spacing w:lineRule="auto" w:line="254" w:before="0" w:after="160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cs="Arial" w:ascii="Arial" w:hAnsi="Arial"/>
                <w:sz w:val="20"/>
                <w:lang w:eastAsia="en-US"/>
              </w:rPr>
              <w:t xml:space="preserve">Приложение № 1 </w:t>
            </w:r>
          </w:p>
          <w:p>
            <w:pPr>
              <w:pStyle w:val="Style19"/>
              <w:spacing w:lineRule="auto" w:line="254" w:before="0" w:after="160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cs="Arial" w:ascii="Arial" w:hAnsi="Arial"/>
                <w:sz w:val="20"/>
                <w:lang w:eastAsia="en-US"/>
              </w:rPr>
              <w:t xml:space="preserve">к муниципальной программе  </w:t>
            </w:r>
          </w:p>
          <w:p>
            <w:pPr>
              <w:pStyle w:val="Style19"/>
              <w:spacing w:lineRule="auto" w:line="254" w:before="0" w:after="160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cs="Arial" w:ascii="Arial" w:hAnsi="Arial"/>
                <w:sz w:val="20"/>
                <w:lang w:eastAsia="en-US"/>
              </w:rPr>
              <w:t xml:space="preserve">«Развитие образования, культуры, </w:t>
            </w:r>
          </w:p>
          <w:p>
            <w:pPr>
              <w:pStyle w:val="Style19"/>
              <w:spacing w:lineRule="auto" w:line="254" w:before="0" w:after="160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cs="Arial" w:ascii="Arial" w:hAnsi="Arial"/>
                <w:sz w:val="20"/>
                <w:lang w:eastAsia="en-US"/>
              </w:rPr>
              <w:t xml:space="preserve">спорта и молодежной политики </w:t>
            </w:r>
          </w:p>
          <w:p>
            <w:pPr>
              <w:pStyle w:val="Style19"/>
              <w:spacing w:lineRule="auto" w:line="254" w:before="0" w:after="160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cs="Arial" w:ascii="Arial" w:hAnsi="Arial"/>
                <w:sz w:val="20"/>
                <w:lang w:eastAsia="en-US"/>
              </w:rPr>
              <w:t xml:space="preserve">в Камышловском городском округе </w:t>
            </w:r>
          </w:p>
          <w:p>
            <w:pPr>
              <w:pStyle w:val="Style19"/>
              <w:spacing w:lineRule="auto" w:line="254" w:before="0" w:after="160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cs="Arial" w:ascii="Arial" w:hAnsi="Arial"/>
                <w:sz w:val="20"/>
                <w:lang w:eastAsia="en-US"/>
              </w:rPr>
              <w:t>до 2027 года»</w:t>
            </w:r>
          </w:p>
        </w:tc>
      </w:tr>
      <w:tr>
        <w:trPr>
          <w:trHeight w:val="525" w:hRule="atLeast"/>
        </w:trPr>
        <w:tc>
          <w:tcPr>
            <w:tcW w:w="14967" w:type="dxa"/>
            <w:gridSpan w:val="9"/>
            <w:tcBorders/>
            <w:vAlign w:val="cente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ЦЕЛИ, ЗАДАЧИ И ЦЕЛЕВЫЕ ПОКАЗАТЕЛИ</w:t>
            </w:r>
          </w:p>
        </w:tc>
      </w:tr>
      <w:tr>
        <w:trPr>
          <w:trHeight w:val="255" w:hRule="atLeast"/>
        </w:trPr>
        <w:tc>
          <w:tcPr>
            <w:tcW w:w="14967" w:type="dxa"/>
            <w:gridSpan w:val="9"/>
            <w:tcBorders/>
            <w:vAlign w:val="cente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реализации муниципальной программы</w:t>
            </w:r>
          </w:p>
        </w:tc>
      </w:tr>
      <w:tr>
        <w:trPr>
          <w:trHeight w:val="510" w:hRule="atLeast"/>
        </w:trPr>
        <w:tc>
          <w:tcPr>
            <w:tcW w:w="14967" w:type="dxa"/>
            <w:gridSpan w:val="9"/>
            <w:tcBorders>
              <w:bottom w:val="single" w:sz="4" w:space="0" w:color="000000"/>
            </w:tcBorders>
            <w:vAlign w:val="center"/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«Развитие образования, культуры, спорта и молодежной политики в Камышловском городском округе до 2027 года»</w:t>
            </w:r>
          </w:p>
        </w:tc>
      </w:tr>
    </w:tbl>
    <w:p>
      <w:pPr>
        <w:pStyle w:val="Style19"/>
        <w:rPr>
          <w:sz w:val="2"/>
          <w:szCs w:val="22"/>
          <w:lang w:eastAsia="en-US"/>
        </w:rPr>
      </w:pPr>
      <w:r>
        <w:rPr>
          <w:sz w:val="2"/>
          <w:szCs w:val="22"/>
          <w:lang w:eastAsia="en-US"/>
        </w:rPr>
      </w:r>
    </w:p>
    <w:tbl>
      <w:tblPr>
        <w:tblW w:w="14967" w:type="dxa"/>
        <w:jc w:val="left"/>
        <w:tblInd w:w="-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8"/>
        <w:gridCol w:w="2725"/>
        <w:gridCol w:w="1286"/>
        <w:gridCol w:w="1135"/>
        <w:gridCol w:w="1135"/>
        <w:gridCol w:w="1123"/>
        <w:gridCol w:w="1135"/>
        <w:gridCol w:w="1135"/>
        <w:gridCol w:w="1135"/>
        <w:gridCol w:w="1135"/>
        <w:gridCol w:w="2115"/>
      </w:tblGrid>
      <w:tr>
        <w:trPr>
          <w:trHeight w:val="390" w:hRule="atLeast"/>
          <w:cantSplit w:val="true"/>
        </w:trPr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№ </w:t>
            </w:r>
            <w:r>
              <w:rPr>
                <w:b/>
                <w:bCs/>
                <w:sz w:val="20"/>
                <w:lang w:eastAsia="en-US"/>
              </w:rPr>
              <w:t>строки</w:t>
            </w: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 цели (целей) и задач, целевых показателей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Единица измерения</w:t>
            </w:r>
          </w:p>
        </w:tc>
        <w:tc>
          <w:tcPr>
            <w:tcW w:w="7933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Источник значений показателей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2022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2027</w:t>
            </w:r>
          </w:p>
        </w:tc>
        <w:tc>
          <w:tcPr>
            <w:tcW w:w="2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19"/>
        <w:spacing w:lineRule="auto" w:line="254" w:before="0" w:after="160"/>
        <w:rPr>
          <w:sz w:val="2"/>
          <w:szCs w:val="22"/>
          <w:lang w:eastAsia="en-US"/>
        </w:rPr>
      </w:pPr>
      <w:r>
        <w:rPr>
          <w:sz w:val="2"/>
          <w:szCs w:val="22"/>
          <w:lang w:eastAsia="en-US"/>
        </w:rPr>
      </w:r>
    </w:p>
    <w:tbl>
      <w:tblPr>
        <w:tblW w:w="14967" w:type="dxa"/>
        <w:jc w:val="left"/>
        <w:tblInd w:w="-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8"/>
        <w:gridCol w:w="2725"/>
        <w:gridCol w:w="1286"/>
        <w:gridCol w:w="1135"/>
        <w:gridCol w:w="1135"/>
        <w:gridCol w:w="1123"/>
        <w:gridCol w:w="1135"/>
        <w:gridCol w:w="1135"/>
        <w:gridCol w:w="1135"/>
        <w:gridCol w:w="1135"/>
        <w:gridCol w:w="2115"/>
      </w:tblGrid>
      <w:tr>
        <w:trPr>
          <w:tblHeader w:val="true"/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11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Подпрограмма 1. Развитие системы дошкольного образования в Камышловском городском округе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1.1.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Цель 1.1. oбеспечение доступности дошкольного образования для детей в возрасте от 3 до 7 лет;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1.1.1.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Задача 1.1.1.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>
        <w:trPr>
          <w:trHeight w:val="153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1.1.1.1.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Доступность дошкольного образования для детей в возрасте 3-7 лет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Федеральный закон  29 декабря     2012 года   № 273-ФЗ «Об образовании в Российской Федерации»</w:t>
            </w:r>
          </w:p>
        </w:tc>
      </w:tr>
      <w:tr>
        <w:trPr>
          <w:trHeight w:val="178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1.1.1.2.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Улучшение материально- технической базы образовательных организаций в целях создания современных условий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Закон Свердловской области </w:t>
              <w:br/>
              <w:t xml:space="preserve">от 15 июля 2013 года № 78-ОЗ </w:t>
              <w:br/>
              <w:t>«Об образовании в Свердловской области»</w:t>
            </w:r>
          </w:p>
        </w:tc>
      </w:tr>
      <w:tr>
        <w:trPr>
          <w:trHeight w:val="153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1.1.1.3.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доступность дошкольного образования для детей от 1,5 лет до 3 лет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муниципальный компонент регионального проекта "Содействие занятости на территории Свердловской области"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1.1.1.4.-.0.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Поддержка победителей конкурса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соотвествии с целями и задачами проекта "Уральская инженерная школа"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1.1.1.5.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Поддержка проектов образовательных учреждений прошедших конкурсный отбор на получение грантов региональных, федеральных ведомств, в том числе благотворительных фондов с целью реализации инновационных проектов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1.1.1.6.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педагогических работников дошкольных образовательных организаций, имеющих первую и высшую квалификационную категорию, от общего количества педагогических работников дошкольных образовательных организаций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73,6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74,8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77,5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78,5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78,5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78,5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1.1.1.7.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образовательных организаций, имеющих статус региональной инновационной образовательной площадки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1.1.2.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Задача 1.1.2. обеспечение воспитания и обучения детей-инвалидов дошкольного возраста, проживающих в Камышловском городском округе, на дому, в дошкольных образовательных организациях</w:t>
            </w:r>
          </w:p>
        </w:tc>
      </w:tr>
      <w:tr>
        <w:trPr>
          <w:trHeight w:val="153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1.1.2.1.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охват детей-инвалидов дошкольного возраста, проживающих в Камышловском городском округе, обучением на дому, в дошкольных образовательных организациях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Федеральный закон  29 декабря     2012 года   № 273-ФЗ «Об образовании в Российской Федерации»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1.1.2.2.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создание в дошкольных образовательных организациях условий для успешной социализации детей с ограниченными возможностями здоровья и детей- инвалидов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1.1.3.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Задача 1.1.3. обеспечение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</w:t>
            </w:r>
          </w:p>
        </w:tc>
      </w:tr>
      <w:tr>
        <w:trPr>
          <w:trHeight w:val="53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1.1.3.1.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зданий муниципальных образовательных организаций дошкольного образования,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Распоряжение Правительства Российской Федерации </w:t>
              <w:br/>
              <w:t>от 06.10.2011   № 1757-р (Стратегия</w:t>
              <w:br/>
              <w:t xml:space="preserve">социально-экономического развития Уральского федерального округа на период до 2020 года), </w:t>
              <w:br/>
              <w:t>санитарно-эпидемиологические правила и нормативы, Федеральный закон от 22 июля 2008 года         № 123-ФЗ</w:t>
              <w:br/>
              <w:t>«Технический регламент о требованиях пожарной безопасности»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Подпрограмма 2. Развитие системы общего образования в Камышловском городском округе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2.1.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Цель 2.1. обеспечение доступности качественного общего образования, соответствующего требованиям инновационного социально-экономического развития Камышловского городского округа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2.1.1.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Задача 2.1.1. обеспечение детей современными условиями при реализации государственного стандарта общего образования</w:t>
            </w:r>
          </w:p>
        </w:tc>
      </w:tr>
      <w:tr>
        <w:trPr>
          <w:trHeight w:val="255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2.1.1.1.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Охват детей школьного возраста в муниципальных общеобразовательных организациях Камышловского городского округа образовательными услугами в рамках государственного образовательного стандарта и федерального государственного образовательного стандарта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Федеральный закон  29 декабря     2012 года   № 273-ФЗ «Об образовании в Российской Федерации»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2.1.1.4.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2.1.1.5.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учащихся общеобразовательных организаций, обучающихся в одну смену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91,4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93,0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94,6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2.1.1.6.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образовательных организаций, имеющих статус региональной инновационной образовательной площадки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2.1.1.7.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образовательных организаций, реализующих образовательный процесс с применением дистанционных технологий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2.1.1.8.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учащихся, осваивающих дополнительные образовательные программы технической и естественно- научной направленности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2.1.1.9.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Поддержка проектов образовательных учреждений прошедших конкурсный отбор на получение грантов региональных, федеральных ведомств, в том числе благотворительных фондов с целью реализации инновационных проектов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2.1.1.10.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организации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2.1.1.11.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педагогических работников общеобразовательных организаций, имеющих первую и высшую квалификационную категорию, от общего количества педагогических работников общеобразовательных организаций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73,6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74,8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77,5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78,5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78,5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78,5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178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2.1.1.12.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Улучшение материально- технической базы образовательных организаций в целях создания современных условий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Закон Свердловской области </w:t>
              <w:br/>
              <w:t xml:space="preserve">от 15 июля 2013 года № 78-ОЗ </w:t>
              <w:br/>
              <w:t>«Об образовании в Свердловской области»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2.1.1.12.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Количество информационных мероприятий по повышению общественного престижа педагогической деятельности, популяризации педагогической деятельности 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2.1.1.14.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Число детей, прошедших обучение в образовательных сменах Фонда поддержки талантливых детей и молодежи "Золотое сечение"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2.1.1.15.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число участников открытых онлайн- 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2270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2277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2280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2286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2290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2300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2.1.2.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Задача 2.1.2. предоставление детям с ограниченными возможностями здоровья специального (коррекционного) образования в классах (группах) для обучающихся, воспитанников с ограниченными возможностями здоровья</w:t>
            </w:r>
          </w:p>
        </w:tc>
      </w:tr>
      <w:tr>
        <w:trPr>
          <w:trHeight w:val="382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2.1.2.1.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детей с ограниченными возможностями здоровья школьного возраста, охваченных общеобразовательными программами, адаптированными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обеспечивающими коррекцию нарушений развития и социальную адаптацию указанных лиц.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Федеральный закон  29 декабря     2012 года   № 273-ФЗ «Об образовании в Российской Федерации»</w:t>
            </w:r>
          </w:p>
        </w:tc>
      </w:tr>
      <w:tr>
        <w:trPr>
          <w:trHeight w:val="280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2.1.2.2.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общеобразовательных организаций,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организации, в общем количестве общеобразовательных организаций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16,7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17,7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18,7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19,0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Федеральный закон  29 декабря     2012 года   № 273-ФЗ «Об образовании в Российской Федерации»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2.1.3.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Задача 2.1.3. обеспечение доступности образования для детей-сирот и детей, оставшихся без попечения родителей</w:t>
            </w:r>
          </w:p>
        </w:tc>
      </w:tr>
      <w:tr>
        <w:trPr>
          <w:trHeight w:val="178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2.1.3.1.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Охват детей-сирот и детей, оставшихся без попечения родителей, образовательными услугами в муниципальных образовательных организациях Камышловского городского округа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Федеральный закон  29 декабря     2012 года   № 273-ФЗ «Об образовании в Российской Федерации»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2.1.4.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Задача 2.1.4. обеспечение бесплатного проезда детей-сирот и детей, оставшихся без попечения родителей, обучающихся в муниципальных общеобразовательных организациях, на городском, пригородном транспорте, а также бесплатного проезда один раз в год к месту жительства и обратно к месту учёбы</w:t>
            </w:r>
          </w:p>
        </w:tc>
      </w:tr>
      <w:tr>
        <w:trPr>
          <w:trHeight w:val="306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2.1.4.1.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детей-сирот и детей, оставшихся без попечения родителей, обучающихся в муниципальных образовательных организациях, которым обеспечен бесплатный проезд на городском, пригородном, в сельской местности на внутрирайонном транспорте, а также бесплатный проезд один раз в год к месту жительства и обратно к месту учёбы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Федеральный закон от 21 декабря 1996 года № 159-ФЗ</w:t>
              <w:br/>
              <w:t>«О дополнительных гарантиях по социальной поддержке детей-сирот и детей, оставшихся без попечения родителей»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2.1.5.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Задача 2.1.5. обеспечение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Камышловского городского округа</w:t>
            </w:r>
          </w:p>
        </w:tc>
      </w:tr>
      <w:tr>
        <w:trPr>
          <w:trHeight w:val="229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2.1.5.1.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выпускников муниципальных общеобразовательных организаций, не сдавших единый государственный экзамен в общей численности выпускников муниципальных общеобразовательных организаций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3,8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3,75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3,7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3,65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3,55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Указ Президента Российской Федерации от 07 мая 2012 года  № 599 «О мерах по реализации государственной политики в области образования и науки»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2.1.7.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Задача 2.1.7. обеспечение соответствия состояния зданий и помещений муниципальных образовательных организаций общего образования требованиям пожарной безопасности и санитарного законодательства</w:t>
            </w:r>
          </w:p>
        </w:tc>
      </w:tr>
      <w:tr>
        <w:trPr>
          <w:trHeight w:val="53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2.1.7.1.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зданий муниципальных образовательных организаций общего образования,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Распоряжение Правительства Российской Федерации </w:t>
              <w:br/>
              <w:t>от 06.10.2011   № 1757-р (Стратегия</w:t>
              <w:br/>
              <w:t xml:space="preserve">социально-экономического развития Уральского федерального округа на период до 2020 года), </w:t>
              <w:br/>
              <w:t>санитарно-эпидемиологические правила и нормативы, Федеральный закон от 22 июля 2008 года         № 123-ФЗ</w:t>
              <w:br/>
              <w:t>«Технический регламент о требованиях пожарной безопасности»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2.1.8.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Задача 2.1.8. создание в общеобразовательных организациях условий для успешной социализации детей с ограниченными возможностями здоровья и детей-инвалидов, а также детей-сирот и детей, оставшихся без попечения родителей</w:t>
            </w:r>
          </w:p>
        </w:tc>
      </w:tr>
      <w:tr>
        <w:trPr>
          <w:trHeight w:val="153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2.1.8.1.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общеобразовательных организаций, имеющих медицинские кабинеты, оснащенные необходимым медицинским оборудованием и прошедших лицензирование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Федеральный закон  29 декабря     2012 года   № 273-ФЗ «Об образовании в Российской Федерации»</w:t>
            </w:r>
          </w:p>
        </w:tc>
      </w:tr>
      <w:tr>
        <w:trPr>
          <w:trHeight w:val="178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2.1.8.2.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детей-инвалидов, получающих общее образование на дому в дистанционной форме, от общей численности детей-инвалидов, которым не противопоказано обучение по дистанционным технологиям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Федеральный закон  29 декабря     2012 года   № 273-ФЗ «Об образовании в Российской Федерации»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2.1.11.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Задача 2.1.11. сохранение и развитие спортивной инфраструктуры муниципальных общеобразовательных организаций</w:t>
            </w:r>
          </w:p>
        </w:tc>
      </w:tr>
      <w:tr>
        <w:trPr>
          <w:trHeight w:val="255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2.1.11.1.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спортивных площадок в муниципальных общеобразовательных организациях, оборудованных в рамках реализации государственной программы Свердловской области "Развитие системы образования в Свердловской области до 2024 года"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Федеральный закон  29 декабря     2012 года   № 273-ФЗ «Об образовании в Российской Федерации»</w:t>
            </w:r>
          </w:p>
        </w:tc>
      </w:tr>
      <w:tr>
        <w:trPr>
          <w:trHeight w:val="306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2.1.11.2.0.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обучающихся общеобразовательных организаций, которым предоставлена возможность использования оборудованной спортивной площадки для сдачи нормативов Всероссийского физкультурно- спортивного комплекса "Готов к труду и обороне!"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2849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2849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2849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2849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2849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2849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2849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Постановление Правительства Свердловской области от 29.12.2016 №919-ПП "Об утверждении государственной программы Свердловской области "Развитие системы образования в Свердловской области до 2024 года"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2.2.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Цель 2.2. обеспечение реализации дополнительных общеразвивающих программ в общеобразовательных учреждениях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2.2.1.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Задача 2.2.1. реализация мер по развитию научно- образовательной и творческой среды в образовательных учреждениях, развитие эффективной системы дополнительного образования детей</w:t>
            </w:r>
          </w:p>
        </w:tc>
      </w:tr>
      <w:tr>
        <w:trPr>
          <w:trHeight w:val="255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2.2.1.1.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численность обучающихся общеобразовательных учреждений, осваивающих дополнительные общеразвивающие программы (направленность: социально- педагогическая, туристско- краеведческая, художественная. физкультурно- спортивная, естественнонаучная, техническая)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3390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3390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3390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3390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3390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3390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3390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Федеральный закон  29 декабря     2012 года   № 273-ФЗ «Об образовании в Российской Федерации»</w:t>
            </w:r>
          </w:p>
        </w:tc>
      </w:tr>
      <w:tr>
        <w:trPr>
          <w:trHeight w:val="204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2.2.1.2.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организация дополнительного профессионального образования педагогов и координация деятельности образовательных организаций, реализующих дополнительные общеобразовательные программы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Федеральный закон  29 декабря     2012 года   № 273-ФЗ «Об образовании в Российской Федерации»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2.3.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Цель 2.3. создание условий для сохранения здоровья и развития детей в Камышловском городском округе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2.3.1.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Задача 2.3.1. осуществление мероприятий по организации питания в муниципальных общеобразовательных организациях</w:t>
            </w:r>
          </w:p>
        </w:tc>
      </w:tr>
      <w:tr>
        <w:trPr>
          <w:trHeight w:val="204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2.3.1.2.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обучающихся льготных категорий, указанных в статье 22 Закона Свердловской области от 15 июля 2013 года №78-ОЗ, обеспеченных организованным горячим питанием, от общего количества обучающихся льготных категорий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Неизвестный элемент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2.3.1.3.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Подпрограмма 3. Развитие системы дополнительного образования в Камышловском городском округе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3.1.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Цель 3.1. обеспечение доступности качественных образовательных услуг в сфере дополнительного образования в Камышловском городском округе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3.1.1.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Задача 3.1.1. развитие системы дополнительного образования детей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3.1.1.1.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67,0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178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3.1.1.2.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Улучшение материально- технической базы образовательных организаций в целях создания современных условий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Закон Свердловской области </w:t>
              <w:br/>
              <w:t xml:space="preserve">от 15 июля 2013 года № 78-ОЗ </w:t>
              <w:br/>
              <w:t>«Об образовании в Свердловской области»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3.1.1.3.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создание и функционирование центров образования естественно-научной и технологической направленностей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3.1.1.4.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детей в возрасте от 5 до 18 лет, охваченных системой персонифицированного финансирования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3.1.1.5.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Организация проведения общегородских мероприятий в сфере образования, культуры, физической культуры и спорта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3.1.2.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Задача 3.1.2. обеспечение соответствия состояния зданий и помещений муниципальных образовательных организаций дополнительного образования требованиям пожарной безопасности и санитарного законодательства</w:t>
            </w:r>
          </w:p>
        </w:tc>
      </w:tr>
      <w:tr>
        <w:trPr>
          <w:trHeight w:val="53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3.1.2.1.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зданий муниципальных образовательных организаций дополнительного образования,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Распоряжение Правительства Российской Федерации </w:t>
              <w:br/>
              <w:t>от 06.10.2011   № 1757-р (Стратегия</w:t>
              <w:br/>
              <w:t xml:space="preserve">социально-экономического развития Уральского федерального округа на период до 2020 года), </w:t>
              <w:br/>
              <w:t>санитарно-эпидемиологические правила и нормативы, Федеральный закон от 22 июля 2008 года         № 123-ФЗ</w:t>
              <w:br/>
              <w:t>«Технический регламент о требованиях пожарной безопасности»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4.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Подпрограмма 4. Развитие культуры в Камышловском городском округе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4.1.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Цель 4.1. "Обеспечение благоприятных условий для развития муниципальной сферы культуры, повышения привлекательности территорий и продвижение имиджа Камышлова через усиление роли культуры в процессах социальных преобразований и экономического развития Камышловского городского округа" 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4.1.1.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Задача 4.1.1. повышение доступности и качества услуг, оказываемых населению в сфере культуры</w:t>
            </w:r>
          </w:p>
        </w:tc>
      </w:tr>
      <w:tr>
        <w:trPr>
          <w:trHeight w:val="433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4.1.1.1.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Число посещений муниципальных библиотек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тыс.чел.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144,24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158,67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173,09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201,94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259,64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288,48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317,33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Распоряжение Министерства культуры Российской Федерации от 3 ноября 2020 г. № Р-1459 «О внесении изменений в распоряжение Министерства культуры Российской Федерации от 16.10.2020 № Р-1358 «О методологии расчета показателя «Число посещений культурных мероприятий» (далее РМКРФ от 16.10.2020 № Р-1358)</w:t>
            </w:r>
          </w:p>
        </w:tc>
      </w:tr>
      <w:tr>
        <w:trPr>
          <w:trHeight w:val="51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4.1.1.2.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посещений музеев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тыс.чел.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20,90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22,99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24,04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25,08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26,13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27,17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28,22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РМКРФ ОТ 16.10.2020 № Р-1358</w:t>
            </w:r>
          </w:p>
        </w:tc>
      </w:tr>
      <w:tr>
        <w:trPr>
          <w:trHeight w:val="76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4.1.1.3.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посещений культурно-массовых мероприятий клубов и домов культуры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тыс.чел.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61,78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67,96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74,14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86,49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111,21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123,56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135,92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РМКРФ ОТ 16.10.2020 № Р-1358</w:t>
            </w:r>
          </w:p>
        </w:tc>
      </w:tr>
      <w:tr>
        <w:trPr>
          <w:trHeight w:val="51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4.1.1.4.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Число посетителей киносеансов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тысяча посещений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27,10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29,81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32,52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35,23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37,94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40,65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43,36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РМКРФ ОТ 16.10.2020 № Р-1358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4.1.1.5.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Доля культурных мероприятий оздоровительно-просветительской направленности в общем количестве культурных мероприятий 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Постановление Правительства Свердловской области от 24.12.2020 года №999-ПП «Об утверждении комплексной программы Свердловской области на 2021-2024 годы «Общественное здоровье уральцев»» (далее ППСО от 24.12.2020 года №999-ПП)</w:t>
            </w:r>
          </w:p>
        </w:tc>
      </w:tr>
      <w:tr>
        <w:trPr>
          <w:trHeight w:val="586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4.1.1.6.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обращений к порталу "Культура Урала. РФ"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Соглашение о достижении результатов и показателей муниципального компонента регионального проекта </w:t>
              <w:br/>
              <w:t>«Цифровизация услуг и формирование информационного пространства в сфере культуры («Цифровая культура») (Свердловская область)»</w:t>
              <w:br/>
              <w:t>на территории муниципального образования</w:t>
              <w:br/>
              <w:t>«Камышловский городской округ»</w:t>
              <w:br/>
              <w:t xml:space="preserve">02.09.2021 год № 46/08-2021 </w:t>
            </w:r>
          </w:p>
        </w:tc>
      </w:tr>
      <w:tr>
        <w:trPr>
          <w:trHeight w:val="127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4.1.1.7.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детей, посещающих культурно-досуговые учреждения и творческие кружки на постоянной основе, от общего числа детей в возрасте до 18 лет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ППСО от 21 октября 2013 г.№1268-ПП</w:t>
            </w:r>
          </w:p>
        </w:tc>
      </w:tr>
      <w:tr>
        <w:trPr>
          <w:trHeight w:val="127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4.1.1.8.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коллективов самодеятельного художественного творчества, имеющих звание «народный (образцовый)»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6,6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6,6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ППСО от 21 октября 2013 г.№1268-ПП</w:t>
            </w:r>
          </w:p>
        </w:tc>
      </w:tr>
      <w:tr>
        <w:trPr>
          <w:trHeight w:val="153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4.1.1.9.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экземпляров новых поступлений в фонды муниципальных библиотек Камышловского городского округа в расчете на 1000 человек жителей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80,5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80,5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80,5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80,5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80,5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80,5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80,5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ППСО от 21 октября 2013 г.№1268-ПП</w:t>
            </w:r>
          </w:p>
        </w:tc>
      </w:tr>
      <w:tr>
        <w:trPr>
          <w:trHeight w:val="153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4.1.1.10.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муниципальных учреждений культуры находящихся в удовлетворительном состоянии не имеющих помещений, требующих капитальный ремонт в общем количестве таких учреждений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ППСО от 21 октября 2013 г.№1268-ПП</w:t>
            </w:r>
          </w:p>
        </w:tc>
      </w:tr>
      <w:tr>
        <w:trPr>
          <w:trHeight w:val="127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4.1.1.11.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фильмов российского производства в общем объеме кинопоказа на территории Камышловского городского округа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ППСО от 21 октября 2013 г.№1268-ПП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4.1.1.12.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Доля клубных  формирований оздоровительной и санитарно-просветительской направленности в общем количестве клубных формирований, действующих на базе учреждений культуры 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Постановление Правительства Свердловской области от 24.12.2020 года №999-ПП «Об утверждении комплексной программы Свердловской области на 2021-2024 годы «Общественное здоровье уральцев»» (далее ППСО от 24.12.2020 года №999-ПП)</w:t>
            </w:r>
          </w:p>
        </w:tc>
      </w:tr>
      <w:tr>
        <w:trPr>
          <w:trHeight w:val="51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4.1.1.13.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передвижных выставок (ежегодно)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ППСО от 21 октября 2013 г.№1268-ПП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4.1.2.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Задача 4.1.2. обеспечение условий для развития инновационной деятельности муниципальных учреждений культуры</w:t>
            </w:r>
          </w:p>
        </w:tc>
      </w:tr>
      <w:tr>
        <w:trPr>
          <w:trHeight w:val="178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4.1.2.1.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муниципальных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ППСО от 21 октября 2013 г.№1268-ПП</w:t>
            </w:r>
          </w:p>
        </w:tc>
      </w:tr>
      <w:tr>
        <w:trPr>
          <w:trHeight w:val="178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4.1.2.2.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муниципальных музеев (с филиалами), оснащенных современными системами и средствами обеспечения сохранности и безопасности фондов, людей и зданий, от их общего количества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ППСО от 21 октября 2013 г.№1268-ПП</w:t>
            </w:r>
          </w:p>
        </w:tc>
      </w:tr>
      <w:tr>
        <w:trPr>
          <w:trHeight w:val="433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4.1.2.3.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Выполнение целевых показателей результативности реализации Плана по информатизации муниципальных библиотек Камышловского городского округа на 2020-2024 годы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Постановление администрации Камышловского городского округа от 27.08.2020г № 571 «Об утверждении -мероприятий по информатизации муниципальных музеев и библиотек, расположенных на территории Камышловского городского округа, </w:t>
              <w:br/>
              <w:t>на 2020–2024 годы» (далее ПАКГО от 27.08.2020г № 571)</w:t>
            </w:r>
          </w:p>
        </w:tc>
      </w:tr>
      <w:tr>
        <w:trPr>
          <w:trHeight w:val="153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4.1.2.4.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Выполнение целевых показателей  результативности реализации Плана по информатизации муниципальных музеев Камышловского городского округа на 2020-2024 годы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 КГО от 27.08.2020 г. №571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4.1.3.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Задача 4.1.3. создание условий для сохранения и развития кадрового и творческого потенциала сферы культуры</w:t>
            </w:r>
          </w:p>
        </w:tc>
      </w:tr>
      <w:tr>
        <w:trPr>
          <w:trHeight w:val="612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4.1.3.1.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специалистов, прошедших повышение квалификации на базе Центров непрерывного образования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Соглашение о достижении результатов и показателей муниципального компонента регионального проекта </w:t>
              <w:br/>
              <w:t>«Создание условий для реализации творческого потенциала нации («Творческие люди») (Свердловская область)»</w:t>
              <w:br/>
              <w:t>на территории муниципального образования</w:t>
              <w:br/>
              <w:t>«Камышловский городской округ»</w:t>
              <w:br/>
              <w:t>31.08.2021 год № 739/12-2020 (далее Соглашение от 31.08.2021 год № 739/12-2020)</w:t>
            </w:r>
          </w:p>
        </w:tc>
      </w:tr>
      <w:tr>
        <w:trPr>
          <w:trHeight w:val="612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4.1.3.2.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волонтеров в сфере культуры Камышловского городского округа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Соглашение о достижении результатов и показателей муниципального компонента регионального проекта </w:t>
              <w:br/>
              <w:t>«Создание условий для реализации творческого потенциала нации («Творческие люди») (Свердловская область)»</w:t>
              <w:br/>
              <w:t>на территории муниципального образования</w:t>
              <w:br/>
              <w:t>«Камышловский городской округ»</w:t>
              <w:br/>
              <w:t>31.08.2021 год № 739/12-2020 (далее Соглашение от 31.08.2021 год № 739/12-2020)</w:t>
            </w:r>
          </w:p>
        </w:tc>
      </w:tr>
      <w:tr>
        <w:trPr>
          <w:trHeight w:val="127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4.1.3.3.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ПП СО от 21 октября 2013 г. № 1268-ПП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4.1.4.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Задача 4.1.4. Реализация проектов, направленных на повышение привлекательности территории и продвижение имиджа Камышлова</w:t>
            </w:r>
          </w:p>
        </w:tc>
      </w:tr>
      <w:tr>
        <w:trPr>
          <w:trHeight w:val="102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4.1.4.1.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проектов, направленных на повышение привлекательности территории и продвижение имиджа Камышлова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ППСО от 21 октября 2013 г.№1268-ПП</w:t>
            </w:r>
          </w:p>
        </w:tc>
      </w:tr>
      <w:tr>
        <w:trPr>
          <w:trHeight w:val="102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4.1.4.2.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получателей грантов за счёт субсидий из разных источников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Национальный проект "Культура" федеральный проект "Культурная среда"</w:t>
            </w:r>
          </w:p>
        </w:tc>
      </w:tr>
      <w:tr>
        <w:trPr>
          <w:trHeight w:val="127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4.1.4.3.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90,0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90,0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ППСО от 21 октября 2013 г.№1268-ПП</w:t>
            </w:r>
          </w:p>
        </w:tc>
      </w:tr>
      <w:tr>
        <w:trPr>
          <w:trHeight w:val="510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4.1.4.4.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Число посещений культурных мероприятий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тысяча посещений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256,06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281,66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306,23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351,59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438,56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483,93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529,30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Соглашение о достижении результатов и показателей муниципального компонента регионального проекта </w:t>
              <w:br/>
              <w:t>«Обеспечение качественно нового уровня развития инфраструктуры культуры («Культурная среда») на территории муниципального образования</w:t>
              <w:br/>
              <w:t>«Камышловский городской округ»</w:t>
              <w:br/>
              <w:t xml:space="preserve">от 07.09.2021 года № 621/08-2021 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Подпрограмма 5. Развитие образования в сфере культуры Камышловского городского округа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5.1.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Цель 5.1. "Создание условий для раннего выявления художественно одаренных детей и молодежи, и их успешной реализации"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5.1.1.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Задача 5.1.1. формирование и развитие эффективной системы поддержки творчески одаренных детей и молодежи</w:t>
            </w:r>
          </w:p>
        </w:tc>
      </w:tr>
      <w:tr>
        <w:trPr>
          <w:trHeight w:val="586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5.1.1.1.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детских школ искусств, находящихся в удовлетворительном состоянии, в общем количестве таких учреждений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Постановление главы Камышловского городского округа от 17.09.2013</w:t>
              <w:br/>
              <w:t xml:space="preserve">№ 1683 «О внесении изменений в План мероприятий («дорожной карты») «Изменения в отраслях социальной сферы, направленные на повышение эффективности сферы культуры в Камышловском городском округе», утвержденный постановлением главы Камышловского городского округа от 29.07.2013 г. </w:t>
              <w:br/>
              <w:t>№ 1372»</w:t>
            </w:r>
          </w:p>
        </w:tc>
      </w:tr>
      <w:tr>
        <w:trPr>
          <w:trHeight w:val="153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5.1.1.2.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учащихся детских школ искусств, привлекаемых к участию в творческих мероприятиях, от общего числа учащихся Камышловского городского округа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6,7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6,7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ППСО от 21 октября 2013 г.№1268-ПП</w:t>
            </w:r>
          </w:p>
        </w:tc>
      </w:tr>
      <w:tr>
        <w:trPr>
          <w:trHeight w:val="102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5.1.1.3.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лауреатов международных, региональных, областных, городских конкурсов и фестивалей в сфере культуры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ППСО от 21 октября 2013 г.№1268-ПП</w:t>
            </w:r>
          </w:p>
        </w:tc>
      </w:tr>
      <w:tr>
        <w:trPr>
          <w:trHeight w:val="178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5.1.1.4.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выпускников детских школ искусств, поступивших на обучение в профессиональные образовательные организации в сфере культуры и искусства, от общего числа выпускников предыдущего года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ПП СО от 21 октября 2013 г. № 1268-ПП</w:t>
            </w:r>
          </w:p>
        </w:tc>
      </w:tr>
      <w:tr>
        <w:trPr>
          <w:trHeight w:val="331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5.1.1.5.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образовательных организаций в сфере культуры и искусства ( с учетом детских школ искусств), оснащенных современным материально-техническим,учебным оборудованием, в том числе музыкальными инструментами, в общем количестве образовательных организаций в сфере культуры в соответствующем финансовом году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ПП СО от 21 октября 2013 г. № 1268-ПП</w:t>
            </w:r>
          </w:p>
        </w:tc>
      </w:tr>
      <w:tr>
        <w:trPr>
          <w:trHeight w:val="51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5.1.1.6.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Число посещений культурных мероприятий, проводимых ДШИ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тысяча посещений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2,03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2,23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2,44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2,84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3,65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4,06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4,47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РМКРФ ОТ 16.10.2020 № Р-1358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6.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Подпрограмма 6. Развитие физической культуры и спорта в Камышловском городском округе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6.1.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Цель 6.1. Создание условий для развития физической культуры и спорта в Камышловском городском округе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6.1.1.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Задача 6.1.1. "Поэтапное внедрение Всероссийского физкультурно-спортивного комплекса "Готов к труду и обороне" (ГТО) на территории Камышловского городского округа" </w:t>
            </w:r>
          </w:p>
        </w:tc>
      </w:tr>
      <w:tr>
        <w:trPr>
          <w:trHeight w:val="255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6.1.1.1.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населения Камышловского городского округа, выполнивших нормативы испытаний (тестов) ВФСК "ГТО", в общей численности населения, принявшего участие в выполнении нормативов испытаний (тестов) ВФСК "ГТО"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51,0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53,0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53,0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53,0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53,0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Государственная программа "Развитие физической культуры и спорта в Свердловской области до 2024 года", утвержденная Постановлением Правительства Свердловской области от 29.10.2013 №1332-ПП </w:t>
            </w:r>
          </w:p>
        </w:tc>
      </w:tr>
      <w:tr>
        <w:trPr>
          <w:trHeight w:val="255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6.1.1.2.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 них учащихся и студентов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58,0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63,0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70,0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Государственная программа "Развитие физической культуры и спорта в Свердловской области до 2024 года", утвержденная Постановлением Правительства Свердловской области от 29.10.2013 №1332-ПП 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6.1.2.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Задача 6.1.2. Формирование у населения ответственного отношения к собственному здоровью и мотивации к здоровому образу жизни</w:t>
            </w:r>
          </w:p>
        </w:tc>
      </w:tr>
      <w:tr>
        <w:trPr>
          <w:trHeight w:val="255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6.1.2.1.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спортивных площадок, оснащенных специализированным оборудованием для занятий уличной гимнастикой (нарастающим итогом)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Государственная программа "Развитие физической культуры и спорта в Свердловской области до 2024 года", утвержденная Постановлением Правительства Свердловской области от 29.10.2013 №1332-ПП </w:t>
            </w:r>
          </w:p>
        </w:tc>
      </w:tr>
      <w:tr>
        <w:trPr>
          <w:trHeight w:val="229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6.1.2.2.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86,8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86,8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86,8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86,8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86,8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86,8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86,8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"Развитие физической культуры и спорта в Свердловской области до 2024 года" утвержденная постановлением Правительства Свердловской области от 29.10.2013 №1332-ПП</w:t>
            </w:r>
          </w:p>
        </w:tc>
      </w:tr>
      <w:tr>
        <w:trPr>
          <w:trHeight w:val="229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6.1.2.3.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граждан среднего возраста (женщины в возрасте 30-54 года,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37,5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41,5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48,6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55,0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"Развитие физической культуры и спорта в Свердловской области до 2024 года" утвержденная постановлением Правительства Свердловской области от 29.10.2013 №1332-ПП</w:t>
            </w:r>
          </w:p>
        </w:tc>
      </w:tr>
      <w:tr>
        <w:trPr>
          <w:trHeight w:val="229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6.1.2.4.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24,6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24,7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"Развитие физической культуры и спорта в Свердловской области до 2024 года" утвержденная постановлением Правительства Свердловской области от 29.10.2013 №1332-ПП</w:t>
            </w:r>
          </w:p>
        </w:tc>
      </w:tr>
      <w:tr>
        <w:trPr>
          <w:trHeight w:val="229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6.1.2.5.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населения Камышловского городского округа, систематически занимающегося физической культурой и спортом, в общей численности населения Камышловского городского округа в возрасте 3-79 лет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43,4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43,4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"Развитие физической культуры и спорта в Свердловской области до 2024 года" утвержденная постановлением Правительства Свердловской области от 29.10.2013 №1332-ПП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6.2.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Цель 6.2. создание условий для развития детско-юношеского спорта, подготовки спортивного резерва сборных команд Камышловского городского округа, Свердловской области и Российской Федерации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6.2.1.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Задача 6.2.1.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в Камышловском городском округе</w:t>
            </w:r>
          </w:p>
        </w:tc>
      </w:tr>
      <w:tr>
        <w:trPr>
          <w:trHeight w:val="229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6.2.1.1.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лиц, занимающихся по программам спортивной подготовки в муниципальных организациях, оказывающих услуги по спортивной подготовке в соответствии с федеральными стандартами спортивной подготовки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"Развитие физической культуры и спорта в Свердловской области до 2024 года" утвержденная постановлением Правительства Свердловской области от 29.10.2013 №1332-ПП</w:t>
            </w:r>
          </w:p>
        </w:tc>
      </w:tr>
      <w:tr>
        <w:trPr>
          <w:trHeight w:val="229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6.2.1.2.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муниципальных организаций, оказывающих услуги по спортивной подготовке в соответствии с федеральными стандартами спортивной подготовки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"Развитие физической культуры и спорта в Свердловской области до 2024 года" утвержденная постановлением Правительства Свердловской области от 29.10.2013 №1332-ПП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6.3.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Цель 6.3. создание условий, обеспечивающих доступность к спортивной инфраструктуре Камышловского городского округа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6.3.1.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Задача 6.3.1. 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</w:t>
            </w:r>
          </w:p>
        </w:tc>
      </w:tr>
      <w:tr>
        <w:trPr>
          <w:trHeight w:val="255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6.3.1.1.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Уровень обеспеченности  населения спортивными сооружениями исходя из единовременной пропускной способности объектов спорта  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проценты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Государственная программа "Развитие физической культуры и спорта в Свердловской области до 2024 года", утвержденная Постановлением Правительства Свердловской области от 29.10.2013 №1332-ПП </w:t>
            </w:r>
          </w:p>
        </w:tc>
      </w:tr>
      <w:tr>
        <w:trPr>
          <w:trHeight w:val="229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6.3.1.2.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обустроенных универсальных детских площадок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шт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"Развитие физической культуры и спорта в Свердловской области до 2024 года" утвержденная постановлением Правительства Свердловской области от 29.10.2013 №1332-ПП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7.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Подпрограмма 7. Организация отдыха и оздоровления детей в Камышловском городском округе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7.1.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Цель 7.1. создание условий для сохранения здоровья и развития детей в Камышловском городском округе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7.1.1.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Задача 7.1.1. совершенствование форм организации отдыха и оздоровления детей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7.1.1.1.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детей школьного возраста, получивших услуги по отдыху и оздоровлению в загородных оздоровительных лагерях в каникулярное время, от общей численности детей школьного возраста, охваченных отдыхом и оздоровлением в каникулярное время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16,5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17,0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17,5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18,5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18,5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18,5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433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7.1.1.2.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оздоровленных детей (за исключением детей- сирот и детей, оставшихся без попечения родителей, детей, находящихся в трудной жизненной ситуации) в учебное время в организациях отдыха детей и их оздоровления, в которых созданы условия для освоения детьми основных общеобразовательных программ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Закон Свердловской области от 28.05.2018 N 53-ОЗ «О наделении органов местного самоуправления муниципальных образований, расположенных на территории Свердловской области, отдельными государственными полномочиями Свердловской области в сфере организации отдыха и оздоровления детей»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8.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Подпрограмма 8. Развитие молодежной политики в Камышловском городском округе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8.1.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Цель 8.1.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страны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8.1.1.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Задача 8.1.1. развитие и поддержка созидательной активности, вовлечение молодежи в общественно-политическую жизнь, формирование культуры здорового образа жизни в молодежной среде</w:t>
            </w:r>
          </w:p>
        </w:tc>
      </w:tr>
      <w:tr>
        <w:trPr>
          <w:trHeight w:val="331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8.1.1.1.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молодых граждан в возрасте от 14 до 30 лет, регулярно участвующих в деятельности общественных объединений, различных формах общественного самоуправления, от общей численности молодых граждан в возрасте от 14 до 30 лет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32,2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32,2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Стратегия социально-экономического развития Свердловской области, утвержденная Постановлением Правительства Свердловской области 27.08.2008 г. №873-ПП «О стратегии социально-экономического развития Свердловской области на период 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9.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Подпрограмма 9. Патриотическое воспитание граждан в Камышловском городском округе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9.1.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Цель 9.1. Комплексное развитие и совершенствование системы патриотического воспитания граждан на территории Камышловского городского округа, направленное на создание условий для повышения гражданской ответственности, повышения уровня консолидации общества для устойчивого развития Российской Федерации и воспитания граждан, имеющих активную гражданскую позицию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9.1.1.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Задача 9.1.1. развитие инфраструктуры муниципальных организаций для организации патриотического воспитания граждан на территории Камышловского городского округа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9.1.1.1.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муниципальных учреждений, осуществляющих патриотическое воспитание граждан на территории Камышловского городского округа, улучшивших материально-техническую базу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Указ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распоряжение Правительства Российской Федерации от 15.07.2013               № 1226-р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9.1.2.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Задача 9.1.2. модернизация содержания и форм патриотического воспитания как условие вовлечения широких масс граждан в Камышловском городском округе в мероприятия историко-патриотической, героико-патриотической, военно-патриотической направленности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9.1.2.1.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муниципальных образовательных организаций, реализующих программы патриотической направленности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Указ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распоряжение Правительства Российской Федерации от 15.07.2013               № 1226-р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9.1.3.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Задача 9.1.3. пропаганда культурного многообразия, этнокультурных ценностей и толерантных отношений в средствах массовой информации в Камышловском городском округе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9.1.3.1.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граждан, принявших участие в патриотических мероприятиях, направленных на формирование общероссийской гражданской идентичности, единства российской нации, содействие межкультурному и межконфессиональному диалогу, к общему количеству населения Камышловского городского округа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9,4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9,4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Указ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распоряжение Правительства Российской Федерации от 15.07.2013               № 1226-р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9.1.4.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Задача 9.1.4. формирование у детей навыков безопасного поведения на улицах и дорогах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9.1.4.1.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образовательных организаций, охваченных методическим сопровождением по вопросам организации профилактики незаконного потребления алкогольной продукции, наркотических средств и психотропных веществ, алкогольной зависимости, наркомании и токсикомании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10.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Подпрограмма 10. Профилактика асоциальных явлений в Камышловском городском округе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10.1.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Цель 10.1. создание условий, способствующих профилактике асоциальных явлений на территории Камышловского городского округа.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10.1.1.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Задача 10.1.1. создание систем профилактики, направленных на активизацию борьбы с деструктивными явлениями на территории Камышловского городского округа</w:t>
            </w:r>
          </w:p>
        </w:tc>
      </w:tr>
      <w:tr>
        <w:trPr>
          <w:trHeight w:val="382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10.1.1.1.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Снижение количества преступлений, совершенных в состоянии алкогольного опьянения до уровня минимальной опасности для общества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Постановление главы Камышловского городского округа от 06.12.2010 года  № 2378 «Об утверждении плана мероприятий по выполнению муниципальной целевой программы «Профилактика правонарушений и алкоголизма на территории Камышловского городского округа»</w:t>
            </w:r>
          </w:p>
        </w:tc>
      </w:tr>
      <w:tr>
        <w:trPr>
          <w:trHeight w:val="382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10.1.1.2.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Снижение количества преступлений совершенных в общественных местах, в том числе на улицах, до уровня минимальной опасности для общества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Постановление главы Камышловского городского округа от 06.12.2010 года  № 2378 «Об утверждении плана мероприятий по выполнению муниципальной целевой программы «Профилактика правонарушений и алкоголизма на территории Камышловского городского округа»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10.1.2.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Задача 10.1.2. проведение профилактических мероприятий по сокращению незаконного оборота и потребления наркотиков, основанных на формирование антинаркотической культуры граждан</w:t>
            </w:r>
          </w:p>
        </w:tc>
      </w:tr>
      <w:tr>
        <w:trPr>
          <w:trHeight w:val="433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10.1.2.1.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обучающихся 9-11 классов прошедших социально психологическое тестирование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Методические рекомендации по организации деятельности антинаркотических комиссий в муниципальных образованиях расположенных на территории Свердловской области утверждены протоколом антинаркотической комиссии Свердловской области от 31.03.2020 №1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10.1.3.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Задача 10.1.3. обеспечение условий, способствующих снижению в Камышловском городском округе распространения ВИЧ-инфекции, ВИЧ/СПИД.</w:t>
            </w:r>
          </w:p>
        </w:tc>
      </w:tr>
      <w:tr>
        <w:trPr>
          <w:trHeight w:val="561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10.1.3.1.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Увеличение доли граждан из «группы риска», охваченных диспансерным наблюдением 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29,3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29,6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29,8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36,0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Федеральный закон</w:t>
              <w:br/>
              <w:t>от 30.03.1995 г. №38-ФЗ «О предупреждении</w:t>
              <w:br/>
              <w:t>распространения</w:t>
              <w:br/>
              <w:t>в Российской Федерации заболевания вызываемого ВИЧ-инфекцией»,</w:t>
              <w:br/>
              <w:t>постановление главы Камышловского городского округа от 02.11.2011 года  № 1907 «Об утверждении Муниципальной целевой программы «О мерах по ограничению распространения ВИЧ-инфекции на территории Камышловского городского округа»</w:t>
            </w:r>
          </w:p>
        </w:tc>
      </w:tr>
      <w:tr>
        <w:trPr>
          <w:trHeight w:val="561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10.1.3.2.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Увеличение удельного веса граждан «группы риска», охваченных лечением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0,1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Федеральный закон</w:t>
              <w:br/>
              <w:t>от 30.03.1995 г. №38-ФЗ «О предупреждении</w:t>
              <w:br/>
              <w:t>распространения</w:t>
              <w:br/>
              <w:t>в Российской Федерации заболевания вызываемого ВИЧ-инфекцией»,</w:t>
              <w:br/>
              <w:t>постановление главы Камышловского городского округа от 02.11.2011 года  № 1907 «Об утверждении Муниципальной целевой программы «О мерах по ограничению распространения ВИЧ-инфекции на территории Камышловского городского округа»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11.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Подпрограмма 11. 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2027 года"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11.1.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Цель 11.1. Обеспечение общегородских мероприятий, направленных на социальную и государственную поддержку талантливых детей, педагогических работников, образовательных организаций, кадетского движения в сфере образования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11.1.1.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Задача 11.1.1. поддержка и укрепление здоровья, предупреждение заболеваний работников образовательных организаций Камышловского городского округа</w:t>
            </w:r>
          </w:p>
        </w:tc>
      </w:tr>
      <w:tr>
        <w:trPr>
          <w:trHeight w:val="178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11.1.1.1.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Охват работников образовательных организаций Камышловского городского округа мероприятиями по укреплению здоровья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Закон Свердловской области </w:t>
              <w:br/>
              <w:t xml:space="preserve">от 15 июля 2013 года № 78-ОЗ </w:t>
              <w:br/>
              <w:t>«Об образовании в Свердловской области»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11.1.2.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Задача 11.1.2. организация обеспечения муниципальных образовательных организаций учебниками, вошедшими в федеральные перечни учебников</w:t>
            </w:r>
          </w:p>
        </w:tc>
      </w:tr>
      <w:tr>
        <w:trPr>
          <w:trHeight w:val="153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11.1.2.1.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общеобразовательных организаций, обеспеченных учебниками, вошедшими в федеральные перечни учебников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Федеральный закон  29 декабря     2012 года   № 273-ФЗ «Об образовании в Российской Федерации»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11.1.3.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Задача 11.1.3. организация выплаты единовременного пособия молодым специалистам на обзаведение хозяйством</w:t>
            </w:r>
          </w:p>
        </w:tc>
      </w:tr>
      <w:tr>
        <w:trPr>
          <w:trHeight w:val="178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11.1.3.1.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молодых специалистов, получивших единовременное пособие на обзаведение хозяйством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Закон Свердловской области </w:t>
              <w:br/>
              <w:t xml:space="preserve">от 15 июля 2013 года № 78-ОЗ </w:t>
              <w:br/>
              <w:t>«Об образовании в Свердловской области»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11.1.4.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Задача 11.1.4. создание материально-технических условий для обеспечения деятельности муниципальных образовательных организаций</w:t>
            </w:r>
          </w:p>
        </w:tc>
      </w:tr>
      <w:tr>
        <w:trPr>
          <w:trHeight w:val="229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11.1.4.1.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реализованных мероприятий по обеспечению деятельности муниципальных образовательных организаций, подведомственных Комитету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97,0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97,0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97,0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97,0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97,0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97,0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97,0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Закон Свердловской области </w:t>
              <w:br/>
              <w:t xml:space="preserve">от 15 июля 2013 года № 78-ОЗ </w:t>
              <w:br/>
              <w:t>«Об образовании в Свердловской области»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11.2.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Цель 11.2. руководство и управление в сфере установленных функций в области образования, культуры, физической культуры, спорта и молодежной политики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11.2.1.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Задача 11.2.1. обеспечение исполнения полномочий Комитета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>
          <w:trHeight w:val="204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11.2.1.1.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целевых показателей муниципальной программы "Развитие образования, культуры, спорта и молодежной политики в Камышловском городском округе до 2027 года", значения которых достигли или превысили запланированные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Закон Свердловской области </w:t>
              <w:br/>
              <w:t xml:space="preserve">от 15 июля 2013 года № 78-ОЗ </w:t>
              <w:br/>
              <w:t>«Об образовании в Свердловской области»</w:t>
            </w:r>
          </w:p>
        </w:tc>
      </w:tr>
      <w:tr>
        <w:trPr>
          <w:trHeight w:val="280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11.2.1.2.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проведенных контрольных мероприятий ведомственного финансового контроля муниципальных образовательных организаций, учреждений физической культуры и спорта, подведомственных Комитету по образованию, культуре, спорту и делам молодежи администрации Камышловского городского округа от числа запланированных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Закон Свердловской области </w:t>
              <w:br/>
              <w:t xml:space="preserve">от 15 июля 2013 года № 78-ОЗ </w:t>
              <w:br/>
              <w:t>«Об образовании в Свердловской области»</w:t>
            </w:r>
          </w:p>
        </w:tc>
      </w:tr>
      <w:tr>
        <w:trPr>
          <w:trHeight w:val="331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11.2.1.3.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устраненных нарушений в общем числе нарушений, выявленных в ходе контрольных мероприятий ведомственного финансового контроля муниципальных образовательных организаций, учреждений физической культуры и спорта, подведомственных Комитету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Закон Свердловской области </w:t>
              <w:br/>
              <w:t xml:space="preserve">от 15 июля 2013 года № 78-ОЗ </w:t>
              <w:br/>
              <w:t>«Об образовании в Свердловской области»</w:t>
            </w:r>
          </w:p>
        </w:tc>
      </w:tr>
      <w:tr>
        <w:trPr>
          <w:trHeight w:val="637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11.2.1.4.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муниципальных общеобразовательных организаций, в которых проведены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организациях, в текущем году, от общего количества муниципальных общеобразовательных организаций, в которых запланированы мероприятия, направленные на устранение нарушений, выявленных органами государственного надзора в результате проверок в муниципальных образовательных организациях, в текущем году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Постановление Правительства Свердловской области от 12.10.2017 г. №724-ПП "О внесении изменений в постановление Правительства свердловской области от 13,04.2017 г. №240-ПП " 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 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11.2.2.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Задача 11.2.2. Создание условий для реализации Стратегии государственной культурной политики на период до 2030 года, утвержденной распоряжением Правительства РФ от 29.02.2016 №326-р</w:t>
            </w:r>
          </w:p>
        </w:tc>
      </w:tr>
      <w:tr>
        <w:trPr>
          <w:trHeight w:val="204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11.2.2.1.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Доля расходов на культуру в общем объеме бюджетных ассигнований муниципального образования 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Распоряжение Правительства РФ от 29.02.2016 N 326-р</w:t>
              <w:br/>
              <w:t>«Об утверждении Стратегии государственной культурной политики на период до 2030 года»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11.3.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Цель 11.3. проведение комплексного психолого- медико- педагогического обследования (далее- обследование) для своевременного выявления детей с особенностями в физическом и (или) психическом развитии и подготовки по результатам обследования рекомендаций по оказанию им психолого- медико- педагогической помощи и организации их обучения и воспитания, а также подтверждение, уточнение или изменение ранее данных рекомендаций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11.3.1.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Задача 11.3.1. проведение обследования детей в возрасте от 0 до 18 лет, обучающихся и воспитанников образовательных организаций Камышловского городского округа</w:t>
            </w:r>
          </w:p>
        </w:tc>
      </w:tr>
      <w:tr>
        <w:trPr>
          <w:trHeight w:val="153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11.3.1.1.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проведенных обследований детей в возрасте от 0 до 18 лет, обучающихся и воспитанников образовательных организаций Камышловского городского округа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Федеральный закон  29 декабря     2012 года   № 273-ФЗ «Об образовании в Российской Федерации»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12.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Подпрограмма 12. Развитие инженерной школы в Камышловском городском округе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12.1.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Цель 12.1. обеспечение условий для подготовки рабочих и инженерных кадров в масштабах и с качеством, удовлетворяющим текущие и перспективные потребности экономики, с учетом программ развития промышленного сектора экономики, обеспечения импортозамещения и возвращения отечественным предприятиям технологического лидерства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12.1.1.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Задача 12.1.1. создание условий, обеспечивющих возможность реализации права граждан на неприрывное образование по инженерно- техническим специальностям</w:t>
            </w:r>
          </w:p>
        </w:tc>
      </w:tr>
      <w:tr>
        <w:trPr>
          <w:trHeight w:val="459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12.1.1.1.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обучающихся- участников форм взаимодействия образовательных организаций по созданию и совместному использованию материально- технических, кадровых, учебно- методических ресурсов для совместной реализации образовательных программ, содержащих модули, направленные на развитие познавательных особенностей детей, поддержку технического творчества и компетенций конструирования, моделирования, программирования, изучения основ проектной деятельности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594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868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955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12.1.1.2.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модернезированных кабинетов естественно- научного цикла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12.1.1.3.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образовательных организаций, реализующих программы дополнительного образования технической и естественно- научной направленности на условиях сетевого взаимодействия с государственным автономным нетиповым образовательным учреждением "Дворец молодежи"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12.1.2.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Задача 12.1.2. создание условий для реализации образовательных программ по наиболее востребованным и перспективным профессиям и специальностям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12.1.2.1.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Поддержка победителей конкурса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соотвествии с целями и задачами проекта "Уральская инженерная школа"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12.1.3.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Задача 12.1.3. модернизация материально- технической, учебно- методической базы муниципальных образовательных организаций Свердловской области, осуществляющих реализацию программ цифрового, естественно- научного и гуманитарного профилей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12.1.3.1.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численность учащихся общеобразовательных организаций, осваивающих дополнительные общеобразовательные программы технической направленности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751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1099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1209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13.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Подпрограмма 13.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13.1.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Цель 13.1. Исключение проявлений экстремистской деятельности на территории Камышловского городского округа, формирование уважения к разнообразию мировых культур, цивилизаций и народов, готовности к взаимопониманию и сотрудничеству с людьми разных национальностей, вероисповедений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13.1.1.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Задача 13.1.1. Координация деятельности органов местного самоуправления Камышловского городского округа, всех субъектов профилактики, направленной на предупреждение экстремизма и формирование толерантного сознания на территории Камышловского городского округа, прежде всего в молодежной среде</w:t>
            </w:r>
          </w:p>
        </w:tc>
      </w:tr>
      <w:tr>
        <w:trPr>
          <w:trHeight w:val="382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13.1.1.1.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выполненных в полном объеме решений Консультативного совета по взаимодействию с национальными и религиозными общественными объединениями на территории Камышловского городского округа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Постановление главы Камышловского городского округа от 25.06.2009 №988 «О создании Консультативного совета по взаимодействию с национальными и религиозными общественными объединениями на территории Камышловского городского округа»</w:t>
            </w:r>
          </w:p>
        </w:tc>
      </w:tr>
      <w:tr>
        <w:trPr>
          <w:trHeight w:val="53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13.1.1.2.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Организация повышения квалификации работников муниципальных учреждений, муниципальных служащих по вопросам гармонизации межнациональных отношений, поддержания межэтнического мира, профилактики экстремизма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Приказ Комитета по образованию, культуре, спорту и делам молодежи администрации Камышловского городского округа от 22.12.2015 г. №352 "Об утверждении плана мероприятий по противодействию экстремизма и обеспечения гармонизации межнациональных и этноконфессиональных отношений на территории Камышловском городском округе на 2016 год"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13.1.2.</w:t>
            </w:r>
          </w:p>
        </w:tc>
        <w:tc>
          <w:tcPr>
            <w:tcW w:w="14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Задача 13.1.2. Мониторинг политических, социально-экономических и иных процессов, оказывающих влияние на ситуацию в городском округе</w:t>
            </w:r>
          </w:p>
        </w:tc>
      </w:tr>
      <w:tr>
        <w:trPr>
          <w:trHeight w:val="53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13.1.2.1.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Наличие мониторинга межнациональных отношений в Камышловском городском округе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Приказ Комитета по образованию, культуре, спорту и делам молодежи администрации Камышловского городского округа от 22.12.2015 г. №352 "Об утверждении плана мероприятий по противодействию экстремизма и обеспечения гармонизации межнациональных и этноконфессиональных отношений на территории Камышловском городском округе на 2016 год"</w:t>
            </w:r>
          </w:p>
        </w:tc>
      </w:tr>
      <w:tr>
        <w:trPr>
          <w:trHeight w:val="53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13.1.2.2.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Наличие мониторинга в сфере противодействия экстремизму в общеобразовательных учреждениях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Приказ Комитета по образованию, культуре, спорту и делам молодежи администрации Камышловского городского округа от 22.12.2015 г. №352 "Об утверждении плана мероприятий по противодействию экстремизма и обеспечения гармонизации межнациональных и этноконфессиональных отношений на территории Камышловском городском округе на 2016 год"</w:t>
            </w:r>
          </w:p>
        </w:tc>
      </w:tr>
    </w:tbl>
    <w:p>
      <w:pPr>
        <w:pStyle w:val="Style19"/>
        <w:rPr>
          <w:sz w:val="2"/>
          <w:szCs w:val="22"/>
          <w:lang w:eastAsia="en-US"/>
        </w:rPr>
      </w:pPr>
      <w:r>
        <w:rPr>
          <w:sz w:val="2"/>
          <w:szCs w:val="22"/>
          <w:lang w:eastAsia="en-US"/>
        </w:rPr>
      </w:r>
    </w:p>
    <w:p>
      <w:pPr>
        <w:pStyle w:val="Style19"/>
        <w:tabs>
          <w:tab w:val="clear" w:pos="708"/>
          <w:tab w:val="left" w:pos="720" w:leader="none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19"/>
        <w:tabs>
          <w:tab w:val="clear" w:pos="708"/>
          <w:tab w:val="left" w:pos="720" w:leader="none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19"/>
        <w:tabs>
          <w:tab w:val="clear" w:pos="708"/>
          <w:tab w:val="left" w:pos="720" w:leader="none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19"/>
        <w:tabs>
          <w:tab w:val="clear" w:pos="708"/>
          <w:tab w:val="left" w:pos="720" w:leader="none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19"/>
        <w:tabs>
          <w:tab w:val="clear" w:pos="708"/>
          <w:tab w:val="left" w:pos="720" w:leader="none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19"/>
        <w:tabs>
          <w:tab w:val="clear" w:pos="708"/>
          <w:tab w:val="left" w:pos="720" w:leader="none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19"/>
        <w:tabs>
          <w:tab w:val="clear" w:pos="708"/>
          <w:tab w:val="left" w:pos="720" w:leader="none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19"/>
        <w:tabs>
          <w:tab w:val="clear" w:pos="708"/>
          <w:tab w:val="left" w:pos="720" w:leader="none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19"/>
        <w:tabs>
          <w:tab w:val="clear" w:pos="708"/>
          <w:tab w:val="left" w:pos="720" w:leader="none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19"/>
        <w:tabs>
          <w:tab w:val="clear" w:pos="708"/>
          <w:tab w:val="left" w:pos="720" w:leader="none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19"/>
        <w:tabs>
          <w:tab w:val="clear" w:pos="708"/>
          <w:tab w:val="left" w:pos="720" w:leader="none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19"/>
        <w:tabs>
          <w:tab w:val="clear" w:pos="708"/>
          <w:tab w:val="left" w:pos="720" w:leader="none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tbl>
      <w:tblPr>
        <w:tblW w:w="1496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359"/>
        <w:gridCol w:w="259"/>
        <w:gridCol w:w="259"/>
        <w:gridCol w:w="259"/>
        <w:gridCol w:w="236"/>
        <w:gridCol w:w="236"/>
        <w:gridCol w:w="236"/>
        <w:gridCol w:w="12887"/>
      </w:tblGrid>
      <w:tr>
        <w:trPr>
          <w:trHeight w:val="1399" w:hRule="atLeast"/>
        </w:trPr>
        <w:tc>
          <w:tcPr>
            <w:tcW w:w="236" w:type="dxa"/>
            <w:tcBorders/>
            <w:vAlign w:val="bottom"/>
          </w:tcPr>
          <w:p>
            <w:pPr>
              <w:pStyle w:val="Style19"/>
              <w:spacing w:lineRule="auto" w:line="254" w:before="0" w:after="160"/>
              <w:rPr>
                <w:sz w:val="2"/>
                <w:szCs w:val="22"/>
                <w:lang w:eastAsia="en-US"/>
              </w:rPr>
            </w:pPr>
            <w:r>
              <w:rPr>
                <w:sz w:val="2"/>
                <w:szCs w:val="22"/>
                <w:lang w:eastAsia="en-US"/>
              </w:rPr>
            </w:r>
          </w:p>
        </w:tc>
        <w:tc>
          <w:tcPr>
            <w:tcW w:w="359" w:type="dxa"/>
            <w:tcBorders/>
            <w:vAlign w:val="bottom"/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</w:p>
        </w:tc>
        <w:tc>
          <w:tcPr>
            <w:tcW w:w="259" w:type="dxa"/>
            <w:tcBorders/>
            <w:vAlign w:val="bottom"/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</w:p>
        </w:tc>
        <w:tc>
          <w:tcPr>
            <w:tcW w:w="259" w:type="dxa"/>
            <w:tcBorders/>
            <w:vAlign w:val="bottom"/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</w:p>
        </w:tc>
        <w:tc>
          <w:tcPr>
            <w:tcW w:w="259" w:type="dxa"/>
            <w:tcBorders/>
            <w:vAlign w:val="bottom"/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</w:p>
        </w:tc>
        <w:tc>
          <w:tcPr>
            <w:tcW w:w="236" w:type="dxa"/>
            <w:tcBorders/>
            <w:vAlign w:val="center"/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</w:p>
        </w:tc>
        <w:tc>
          <w:tcPr>
            <w:tcW w:w="236" w:type="dxa"/>
            <w:tcBorders/>
            <w:vAlign w:val="center"/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</w:p>
        </w:tc>
        <w:tc>
          <w:tcPr>
            <w:tcW w:w="236" w:type="dxa"/>
            <w:tcBorders/>
            <w:vAlign w:val="center"/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</w:p>
        </w:tc>
        <w:tc>
          <w:tcPr>
            <w:tcW w:w="12887" w:type="dxa"/>
            <w:tcBorders/>
            <w:vAlign w:val="center"/>
          </w:tcPr>
          <w:p>
            <w:pPr>
              <w:pStyle w:val="Style19"/>
              <w:spacing w:lineRule="auto" w:line="254" w:before="0" w:after="160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cs="Arial" w:ascii="Arial" w:hAnsi="Arial"/>
                <w:sz w:val="20"/>
                <w:lang w:eastAsia="en-US"/>
              </w:rPr>
              <w:t>Приложение № 2 к муниципальной программе  «Развитие образования, культуры, спорта и молодежной политики в Камышловском городском округе до 2027 года»</w:t>
            </w:r>
          </w:p>
        </w:tc>
      </w:tr>
      <w:tr>
        <w:trPr>
          <w:trHeight w:val="510" w:hRule="atLeast"/>
        </w:trPr>
        <w:tc>
          <w:tcPr>
            <w:tcW w:w="14967" w:type="dxa"/>
            <w:gridSpan w:val="9"/>
            <w:tcBorders/>
            <w:vAlign w:val="bottom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ПЛАН МЕРОПРИЯТИЙ</w:t>
            </w:r>
          </w:p>
        </w:tc>
      </w:tr>
      <w:tr>
        <w:trPr>
          <w:trHeight w:val="285" w:hRule="atLeast"/>
        </w:trPr>
        <w:tc>
          <w:tcPr>
            <w:tcW w:w="14967" w:type="dxa"/>
            <w:gridSpan w:val="9"/>
            <w:tcBorders/>
            <w:vAlign w:val="bottom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 выполнению муниципальной программы</w:t>
            </w:r>
          </w:p>
        </w:tc>
      </w:tr>
      <w:tr>
        <w:trPr>
          <w:trHeight w:val="510" w:hRule="atLeast"/>
        </w:trPr>
        <w:tc>
          <w:tcPr>
            <w:tcW w:w="14967" w:type="dxa"/>
            <w:gridSpan w:val="9"/>
            <w:tcBorders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«Развитие образования, культуры, спорта и молодежной политики в Камышловском городском округе до 2027 года»</w:t>
            </w:r>
          </w:p>
        </w:tc>
      </w:tr>
    </w:tbl>
    <w:p>
      <w:pPr>
        <w:pStyle w:val="Style19"/>
        <w:rPr>
          <w:sz w:val="2"/>
          <w:szCs w:val="22"/>
          <w:lang w:eastAsia="en-US"/>
        </w:rPr>
      </w:pPr>
      <w:r>
        <w:rPr>
          <w:sz w:val="2"/>
          <w:szCs w:val="22"/>
          <w:lang w:eastAsia="en-US"/>
        </w:rPr>
      </w:r>
    </w:p>
    <w:tbl>
      <w:tblPr>
        <w:tblW w:w="14967" w:type="dxa"/>
        <w:jc w:val="left"/>
        <w:tblInd w:w="-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2"/>
        <w:gridCol w:w="3193"/>
        <w:gridCol w:w="1202"/>
        <w:gridCol w:w="1202"/>
        <w:gridCol w:w="1202"/>
        <w:gridCol w:w="1139"/>
        <w:gridCol w:w="1139"/>
        <w:gridCol w:w="1139"/>
        <w:gridCol w:w="1139"/>
        <w:gridCol w:w="1139"/>
        <w:gridCol w:w="1671"/>
      </w:tblGrid>
      <w:tr>
        <w:trPr>
          <w:trHeight w:val="255" w:hRule="atLeast"/>
          <w:cantSplit w:val="true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№ </w:t>
            </w:r>
            <w:r>
              <w:rPr>
                <w:b/>
                <w:bCs/>
                <w:sz w:val="20"/>
                <w:lang w:eastAsia="en-US"/>
              </w:rPr>
              <w:t>строки</w:t>
            </w:r>
          </w:p>
        </w:tc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301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>
        <w:trPr>
          <w:trHeight w:val="1125" w:hRule="atLeast"/>
          <w:cantSplit w:val="true"/>
        </w:trPr>
        <w:tc>
          <w:tcPr>
            <w:tcW w:w="8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2021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2023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2024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2025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2026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2027</w:t>
            </w:r>
          </w:p>
        </w:tc>
        <w:tc>
          <w:tcPr>
            <w:tcW w:w="1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19"/>
        <w:spacing w:lineRule="auto" w:line="254" w:before="0" w:after="160"/>
        <w:rPr>
          <w:sz w:val="2"/>
          <w:szCs w:val="22"/>
          <w:lang w:eastAsia="en-US"/>
        </w:rPr>
      </w:pPr>
      <w:r>
        <w:rPr>
          <w:sz w:val="2"/>
          <w:szCs w:val="22"/>
          <w:lang w:eastAsia="en-US"/>
        </w:rPr>
      </w:r>
    </w:p>
    <w:tbl>
      <w:tblPr>
        <w:tblW w:w="14967" w:type="dxa"/>
        <w:jc w:val="left"/>
        <w:tblInd w:w="-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2"/>
        <w:gridCol w:w="3193"/>
        <w:gridCol w:w="1202"/>
        <w:gridCol w:w="1202"/>
        <w:gridCol w:w="1202"/>
        <w:gridCol w:w="1139"/>
        <w:gridCol w:w="1139"/>
        <w:gridCol w:w="1139"/>
        <w:gridCol w:w="1139"/>
        <w:gridCol w:w="1139"/>
        <w:gridCol w:w="1671"/>
      </w:tblGrid>
      <w:tr>
        <w:trPr>
          <w:tblHeader w:val="true"/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7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9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11</w:t>
            </w:r>
          </w:p>
        </w:tc>
      </w:tr>
      <w:tr>
        <w:trPr>
          <w:trHeight w:val="102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5618 097 184,70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789 609 277,62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837 646 352,08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811 140 197,00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833 732 852,00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753 954 290,00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782 820 656,00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809 193 560,00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132 107 400,00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32 375 100,00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33 720 300,00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32 739 000,00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33 273 000,00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2877 950 736,00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384 603 209,00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414 465 500,00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422 926 300,00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431 048 200,00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394 354 642,00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409 319 024,00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421 233 861,00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2608 039 048,70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372 630 968,62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389 460 552,08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355 474 897,00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369 411 652,00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359 599 648,00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373 501 632,00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387 959 699,00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Прочие нужды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5618 097 184,70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789 609 277,62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837 646 352,08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811 140 197,00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833 732 852,00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753 954 290,00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782 820 656,00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809 193 560,00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132 107 400,00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32 375 100,00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33 720 300,00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32 739 000,00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33 273 000,00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2877 950 736,00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384 603 209,00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414 465 500,00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422 926 300,00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431 048 200,00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394 354 642,00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409 319 024,00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421 233 861,00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2608 039 048,70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372 630 968,62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389 460 552,08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355 474 897,00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369 411 652,00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359 599 648,00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373 501 632,00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387 959 699,00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ПОДПРОГРАММА  1. РАЗВИТИЕ СИСТЕМЫ ДОШКОЛЬНОГО ОБРАЗОВАНИЯ В КАМЫШЛОВСКОМ ГОРОДСКОМ ОКРУГЕ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ВСЕГО ПО ПОДПРОГРАММЕ, В ТОМ ЧИСЛЕ: РАЗВИТИЕ СИСТЕМЫ ДОШКОЛЬНОГО ОБРАЗОВАНИЯ В КАМЫШЛОВСКОМ ГОРОДСКОМ ОКРУГЕ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1998 814 829,80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271 502 746,80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286 284 401,00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273 910 179,00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291 847 460,00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282 017 474,00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292 828 573,00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300 423 996,00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1312 193 013,00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169 514 592,00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184 536 600,00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186 816 000,00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190 395 360,00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187 726 219,00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194 765 668,00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198 438 574,00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686 621 816,80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101 988 154,80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101 747 801,00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87 094 179,00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101 452 100,00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94 291 255,00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98 062 905,00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101 985 422,00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«Прочие нужды»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1998 814 829,80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271 502 746,80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286 284 401,00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273 910 179,00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291 847 460,00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282 017 474,00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292 828 573,00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300 423 996,00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1312 193 013,00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169 514 592,00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184 536 600,00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186 816 000,00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190 395 360,00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187 726 219,00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194 765 668,00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198 438 574,00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686 621 816,80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101 988 154,80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101 747 801,00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87 094 179,00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101 452 100,00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94 291 255,00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98 062 905,00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101 985 422,00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408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1.1.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дошкольных образовательных учреждений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644 845 528,00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82 205 850,00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95 194 650,00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84 086 340,00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98 323 947,00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91 310 463,00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94 962 881,00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98 761 397,00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1.1.1.1., 1.1.2.1.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644 845 528,00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82 205 850,00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95 194 650,00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84 086 340,00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98 323 947,00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91 310 463,00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94 962 881,00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98 761 397,00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229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19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1.2. Мероприятия по укреплению и развитию материально-технической базы муниципальных дошкольных образовательных учреждений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600 000,00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600 000,00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600 000,00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600 000,00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331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21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1.3.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учреждения.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7 012 162,80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6 638 396,11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373 766,69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1.1.3.1.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7 012 162,80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6 638 396,11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373 766,69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459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23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1.4.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1268 092 400,00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163 344 200,00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177 338 200,00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180 270 000,00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183 588 000,00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180 840 000,00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187 604 000,00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195 108 000,00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1.1.1.6., 1.1.2.1.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1268 092 400,00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163 344 200,00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177 338 200,00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180 270 000,00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183 588 000,00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180 840 000,00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187 604 000,00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195 108 000,00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459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Мероприятие 1.5.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 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17 191 000,00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2 223 000,00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2 250 000,00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2 256 000,00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2 346 000,00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2 600 000,00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2 704 000,00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2 812 000,00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1.1.1.1., 1.1.2.1.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17 191 000,00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2 223 000,00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2 250 000,00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2 256 000,00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2 346 000,00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2 600 000,00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2 704 000,00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2 812 000,00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63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27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1.6.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организаций.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25 796 975,00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3 899 100,00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4 174 400,00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4 234 000,00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4 403 360,00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4 229 727,00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4 398 916,00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457 472,00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1.1.1.1., 1.1.1.3.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25 796 975,00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3 899 100,00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4 174 400,00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4 234 000,00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4 403 360,00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4 229 727,00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4 398 916,00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457 472,00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63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29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1.7.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игрушек.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392 638,00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48 292,00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54 000,00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56 000,00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58 000,00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56 492,00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58 752,00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61 102,00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1.1.1.1., 1.1.2.1.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392 638,00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48 292,00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54 000,00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56 000,00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58 000,00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56 492,00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58 752,00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61 102,00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382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31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1.8.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общеобразовательных учреждениях.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21 344 236,00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3 029 392,00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2 874 011,00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3 007 839,00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3 128 153,00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2 980 792,00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3 100 024,00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3 224 025,00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1.1.1.1., 1.1.2.1.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21 344 236,00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3 029 392,00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2 874 011,00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3 007 839,00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3 128 153,00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2 980 792,00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3 100 024,00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3 224 025,00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229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33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1.9. Мероприятия, направленные на устранение,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1 966 908,00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1 966 908,00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1.1.1.1., 1.1.1.3.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1 966 908,00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1 966 908,00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178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35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1.11. Организация конкурсных мероприятий городского, регионального, всероссийского уровня для детей дошкольного возраста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240 000,00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90 000,00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150 000,00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240 000,00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90 000,00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37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1.12. Мероприятия, направленные на обеспечение антитеррористической безопасности учреждений дошкольного образования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10 512 982,00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9 374 516,69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1 138 465,31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10 512 982,00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9 374 516,69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1 138 465,31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357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39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1.13.  Поддержка проектов образовательных учреждений, прошедших конкурсный отбор на получение грантов региональных, федеральных ведомств, в том числе благотворительных фондов с целью реализации инновационных проектов.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100 000,00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50 000,00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1.1.1.1., 1.1.1.3.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50 000,00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433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41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1.14. Поддержка победителей конкурса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проекта "Уральская инженерная школа"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720 000,00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720 000,00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720 000,00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720 000,00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43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ПОДПРОГРАММА  2. РАЗВИТИЕ СИСТЕМЫ ОБЩЕГО ОБРАЗОВАНИЯ В КАМЫШЛОВСКОМ ГОРОДСКОМ ОКРУГЕ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44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ВСЕГО ПО ПОДПРОГРАММЕ, В ТОМ ЧИСЛЕ: РАЗВИТИЕ СИСТЕМЫ ОБЩЕГО ОБРАЗОВАНИЯ В КАМЫШЛОВСКОМ ГОРОДСКОМ ОКРУГЕ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2218 985 706,55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326 104 460,55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334 261 520,00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345 483 913,00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342 911 721,00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279 008 743,00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289 929 092,00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301 286 257,00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45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132 087 400,00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32 375 100,00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33 700 300,00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32 739 000,00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33 273 000,00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46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1487 731 523,00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199 906 317,00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216 123 300,00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224 579 400,00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228 660 740,00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198 123 323,00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206 048 256,00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214 290 187,00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47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599 166 783,55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93 823 043,55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84 437 920,00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88 165 513,00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80 977 981,00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80 885 420,00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83 880 836,00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86 996 070,00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48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«Прочие нужды»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49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2218 985 706,55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326 104 460,55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334 261 520,00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345 483 913,00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342 911 721,00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279 008 743,00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289 929 092,00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301 286 257,00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50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132 087 400,00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32 375 100,00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33 700 300,00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32 739 000,00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33 273 000,00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51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1487 731 523,00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199 906 317,00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216 123 300,00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224 579 400,00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228 660 740,00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198 123 323,00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206 048 256,00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214 290 187,00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52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599 166 783,55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93 823 043,55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84 437 920,00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88 165 513,00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80 977 981,00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80 885 420,00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83 880 836,00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86 996 070,00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357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53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2.1.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создание условий для содержания детей в муниципальных общеобразовательных учреждения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525 066 205,00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66 436 805,00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76 025 650,00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67 863 443,00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80 977 981,00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74 885 420,00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77 880 836,00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80 996 070,00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2.1.1.1., 2.1.2.1., 2.1.2.2., 2.2.1.1., 2.2.1.2.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525 066 205,00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66 436 805,00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76 025 650,00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67 863 443,00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80 977 981,00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74 885 420,00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77 880 836,00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80 996 070,00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55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2.2. Мероприятия по укреплению и развитию материально-технической базы муниципальных общеобразовательных учреждений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819 568,00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550 000,00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89 856,00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89 856,00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89 856,00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2.1.7.1.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56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819 568,00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550 000,00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89 856,00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89 856,00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89 856,00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229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57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2.3. Осуществление мероприятий по организации питания в муниципальных общеобразовательных организаций за счет средств областного бюджета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60 982 000,00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11 785 000,00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15 761 000,00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16 390 000,00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17 046 000,00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2.3.1.2.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58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60 982 000,00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11 785 000,00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15 761 000,00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16 390 000,00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17 046 000,00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331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59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2.4.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29 077 067,27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18 249 308,27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2 085 099,00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2 914 220,00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2 914 220,00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2 914 220,00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2.1.7.1.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29 077 067,27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18 249 308,27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2 085 099,00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2 914 220,00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2 914 220,00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2 914 220,00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63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61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2.5.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организаций.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1336 609 053,00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175 075 100,00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188 468 300,00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195 819 000,00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198 749 640,00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185 320 673,00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192 733 500,00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200 442 840,00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2.1.1.1., 2.1.1.4., 2.1.8.2.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1336 609 053,00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175 075 100,00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188 468 300,00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195 819 000,00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198 749 640,00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185 320 673,00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192 733 500,00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200 442 840,00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63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63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2.6.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игрушек.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87 984 461,00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11 620 708,00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11 660 000,00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12 127 000,00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12 612 000,00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12 802 650,00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13 314 756,00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13 847 347,00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64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87 984 461,00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11 620 708,00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11 660 000,00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12 127 000,00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12 612 000,00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12 802 650,00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13 314 756,00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13 847 347,00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255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65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2.7. 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1 626 942,00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542 314,00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542 314,00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542 314,00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2.1.8.1., 2.1.8.2.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66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1 626 942,00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542 314,00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542 314,00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542 314,00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255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67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2.8.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7 745 615,00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384 785,00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2 453 610,00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2 453 610,00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2 453 610,00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2.1.7.1.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7 745 615,00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384 785,00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2 453 610,00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2 453 610,00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2 453 610,00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459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69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2.9.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826 500,00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96 000,00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234 000,00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243 400,00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253 100,00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2.1.3.1., 2.1.4.1.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826 500,00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96 000,00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234 000,00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243 400,00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253 100,00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71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Мероприятие 2.10. Мероприятия, направленные на обеспечение антитеррористической безопасности общеобразовательных учреждений. 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7 854 223,28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6 012 052,28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1 842 171,00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2.1.7.1.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7 854 223,28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6 012 052,28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1 842 171,00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102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73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2.11. Организация проведения государственной итоговой аттестации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400 000,00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200 000,00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200 000,00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2.1.5.1.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400 000,00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12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75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2.12. Создание центра образования цифрового и гуманитарного профилей "Точка роста"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12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77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2.13.  Сопровождение и поддержка талантливых детей с высокой мотивацией к обучению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590 000,00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305 000,00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285 000,00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590 000,00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305 000,00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285 000,00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357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79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2.14.  Поддержка проектов образовательных учреждений, прошедших конкурсный отбор на получение грантов региональных, федеральных ведомств, в том числе благотворительных фондов с целью реализации инновационных проектов.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81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2.15.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55 970 400,00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13 655 400,00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14 105 000,00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14 105 000,00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14 105 000,00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2.1.1.10.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федеральный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55 970 400,00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13 655 400,00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14 105 000,00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14 105 000,00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14 105 000,00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255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83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2.16.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76 117 000,00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18 719 700,00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19 595 300,00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18 634 000,00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19 168 000,00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2.3.1.3.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84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федеральный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76 117 000,00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18 719 700,00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19 595 300,00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18 634 000,00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19 168 000,00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85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2.17. Создание в муниципальных общеобразовательных организациях условий для организации горячего питания обучающихся.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2 825 183,00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2 825 183,00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2.3.1.3.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86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1 329 509,00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1 329 509,00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87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1 495 674,00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1 495 674,00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88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2.18. Подготовка и участие спортивных команд общеобразовательных организаций в спортивных мероприятиях различного уровня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189 419,00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189 419,00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2.2.1.1.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189 419,00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189 419,00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12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90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2.19. Оборудование спортивных площадок в общеобразовательных организациях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24 302 070,00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4 000 000,00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20 302 070,00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2.1.11.1.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24 302 070,00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4 000 000,00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20 302 070,00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92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ПОДПРОГРАММА  3. РАЗВИТИЕ СИСТЕМЫ ДОПОЛНИТЕЛЬНОГО ОБРАЗОВАНИЯ В КАМЫШЛОВСКОМ ГОРОДСКОМ ОКРУГЕ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93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ВСЕГО ПО ПОДПРОГРАММЕ, В ТОМ ЧИСЛЕ: РАЗВИТИЕ СИСТЕМЫ ДОПОЛНИТЕЛЬНОГО ОБРАЗОВАНИЯ В КАМЫШЛОВСКОМ ГОРОДСКОМ ОКРУГЕ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386 216 395,16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55 128 150,16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57 746 730,00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55 034 761,00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57 055 662,00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51 656 552,00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53 722 814,00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55 871 726,00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94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386 216 395,16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55 128 150,16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57 746 730,00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55 034 761,00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57 055 662,00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51 656 552,00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53 722 814,00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55 871 726,00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95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«Прочие нужды»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96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386 216 395,16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55 128 150,16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57 746 730,00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55 034 761,00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57 055 662,00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51 656 552,00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53 722 814,00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55 871 726,00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97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386 216 395,16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55 128 150,16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57 746 730,00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55 034 761,00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57 055 662,00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51 656 552,00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53 722 814,00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55 871 726,00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29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98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3.1. 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360 577 896,00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47 026 371,00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49 234 490,00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50 522 521,00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52 543 422,00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51 656 552,00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53 722 814,00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55 871 726,00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360 577 896,00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47 026 371,00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49 234 490,00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50 522 521,00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52 543 422,00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51 656 552,00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53 722 814,00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55 871 726,00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229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3.2.  Мероприятия  по укреплению и развитию материально - технической базы  в  муниципальных учреждениях дополнительного образования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500 000,00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500 000,00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101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500 000,00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500 000,00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382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102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3.3.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учреждения дополнительного образования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1 059 237,84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1 059 237,84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3.1.2.1.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103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1 059 237,84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1 059 237,84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104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3.4. Мероприятия направленные на обеспечение антитеррористической безопасности образовательных организаций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1 781 860,75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1 781 860,75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1 781 860,75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1 781 860,75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153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106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3.5. Проведение городских мероприятий, участие коллективов в областных и международных мероприятий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2 350 000,00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1 350 000,00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1 000 000,00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107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2 350 000,00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1 350 000,00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1 000 000,00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153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108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3.6. Обеспечение персонифицированного финансирования дополнительного образования детей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14 946 178,57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1 409 458,57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4 512 240,00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4 512 240,00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4 512 240,00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3.1.1.1., 3.1.1.4.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109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14 946 178,57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1 409 458,57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4 512 240,00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4 512 240,00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4 512 240,00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12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110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3.7. Создание центра образования цифрового и гуманитарного профилей "Точка роста"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5 001 222,00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2 001 222,00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3 000 000,00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111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5 001 222,00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2 001 222,00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3 000 000,00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112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ПОДПРОГРАММА  4. РАЗВИТИЕ КУЛЬТУРЫ В КАМЫШЛОВСКОМ ГОРОДСКОМ ОКРУГЕ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153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113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ВСЕГО ПО ПОДПРОГРАММЕ, В ТОМ ЧИСЛЕ: РАЗВИТИЕ КУЛЬТУРЫ В КАМЫШЛОВСКОМ ГОРОДСКОМ ОКРУГЕ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363 299 542,11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46 647 199,11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53 100 477,00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49 122 972,00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51 087 890,00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52 326 052,00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54 419 094,00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56 595 858,00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114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20 000,00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20 000,00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115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363 279 542,11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46 647 199,11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53 080 477,00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49 122 972,00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51 087 890,00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52 326 052,00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54 419 094,00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56 595 858,00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116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«Прочие нужды»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117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363 299 542,11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46 647 199,11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53 100 477,00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49 122 972,00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51 087 890,00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52 326 052,00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54 419 094,00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56 595 858,00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118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20 000,00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20 000,00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119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363 279 542,11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46 647 199,11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53 080 477,00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49 122 972,00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51 087 890,00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52 326 052,00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54 419 094,00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56 595 858,00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178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4.1. Организация деятельности муниципальных музеев, приобретение и хранение музейных предметов и музейных коллекций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58 198 509,00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6 982 788,00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8 076 524,00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7 932 102,00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8 249 386,00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8 635 862,00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8 981 297,00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9 340 550,00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4.1.1.13., 4.1.1.2., 4.1.1.5., 4.1.2.2., 4.1.2.4., 4.1.3.1., 4.1.3.2., 4.1.4.3.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58 198 509,00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6 982 788,00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8 076 524,00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7 932 102,00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8 249 386,00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8 635 862,00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8 981 297,00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9 340 550,00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229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122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4.2.  Организация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129 496 208,00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16 094 830,00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17 786 633,00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17 429 566,00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18 126 748,00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19 239 631,00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20 009 216,00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20 809 584,00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4.1.1.1., 4.1.1.9., 4.1.2.1., 4.1.2.3., 4.1.3.1., 4.1.3.2., 4.1.4.3.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123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129 496 208,00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16 094 830,00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17 786 633,00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17 429 566,00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18 126 748,00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19 239 631,00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20 009 216,00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20 809 584,00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12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124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4.3. Организация деятельности учреждений культурно-досуговой сферы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170 629 198,00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21 613 954,00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24 217 320,00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23 761 304,00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24 711 756,00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24 450 559,00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25 428 581,00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26 445 724,00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4.1.1.11., 4.1.1.12., 4.1.1.3., 4.1.1.4., 4.1.1.7., 4.1.1.8., 4.1.3.1., 4.1.3.2., 4.1.4.3.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125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170 629 198,00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21 613 954,00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24 217 320,00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23 761 304,00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24 711 756,00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24 450 559,00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25 428 581,00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26 445 724,00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382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126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4.4. Капитальный ремонт зданий и помещений, в которых размещаются МУ кульуры, приведение в соответствие с требованиями пожарной безопасности и оснащение таких учреждений специальным оборудованием, инвентарем и музыкальными инструментами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853 929,11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853 929,11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4.1.2.1., 4.1.2.2.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127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853 929,11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853 929,11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153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128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4.5. Проведение городских мероприятий, участие коллективов в областных и международных мероприятий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3 856 576,00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856 576,00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3 000 000,00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4.1.1.6., 4.1.4.1., 4.1.4.2., 4.1.4.3., 4.1.4.4.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3 856 576,00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856 576,00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3 000 000,00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255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130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4.6.    Субсидии на поддержку муниципальных учреждений культуры прошедших конкурсный отбор на получение грантов федеральных, региональных ведомств, фондов, в том числе благотворительных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30 000,00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30 000,00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4.1.1.1., 4.1.1.13., 4.1.1.2., 4.1.1.3., 4.1.1.4., 4.1.1.7., 4.1.1.9., 4.1.2.1., 4.1.2.2., 4.1.3.2., 4.1.4.1., 4.1.4.2., 4.1.4.4., 5.1.1.5., 5.1.1.6.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131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30 000,00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30 000,00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306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132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4.7. Осуществление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2021 году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215 122,00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215 122,00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4.1.3.3.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133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215 122,00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215 122,00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102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134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4.8. Модернизация библиотек в части комплектования книжных фондов.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20 000,00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20 000,00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135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федеральный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136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ПОДПРОГРАММА  5. РАЗВИТИЕ ОБРАЗОВАНИЯ В СФЕРЕ КУЛЬТУРЫ КАМЫШЛОВСКОГО ГОРОДСКОГО ОКРУГА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29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137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ВСЕГО ПО ПОДПРОГРАММЕ, В ТОМ ЧИСЛЕ: РАЗВИТИЕ ОБРАЗОВАНИЯ В СФЕРЕ КУЛЬТУРЫ КАМЫШЛОВСКОГО ГОРОДСКОГО ОКРУГА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275 249 955,89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34 043 476,89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39 331 511,00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38 086 876,00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39 610 351,00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39 780 158,00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41 371 364,00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43 026 219,00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138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4 632 600,00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2 193 200,00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2 439 400,00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139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270 617 355,89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31 850 276,89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36 892 111,00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38 086 876,00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39 610 351,00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39 780 158,00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41 371 364,00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43 026 219,00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140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«Прочие нужды»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141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275 249 955,89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34 043 476,89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39 331 511,00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38 086 876,00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39 610 351,00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39 780 158,00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41 371 364,00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43 026 219,00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142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4 632 600,00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2 193 200,00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2 439 400,00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143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270 617 355,89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31 850 276,89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36 892 111,00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38 086 876,00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39 610 351,00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39 780 158,00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41 371 364,00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43 026 219,00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459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144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5.1.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школах искусств, детям сиротам, детям, оставшимся без попечения родителей и иным категориям граждан, нуждающихся в социальной поддержке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4 632 600,00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2 193 200,00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2 439 400,00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5.1.1.2., 5.1.1.3., 5.1.1.4.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145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4 632 600,00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2 193 200,00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2 439 400,00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12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146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5.2. Предоставление дополнительного образования в сфере культуры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268 368 983,00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29 851 904,00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36 642 111,00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38 086 876,00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39 610 351,00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39 780 158,00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41 371 364,00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43 026 219,00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5.1.1.2., 5.1.1.3., 5.1.1.4., 5.1.1.6.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147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268 368 983,00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29 851 904,00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36 642 111,00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38 086 876,00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39 610 351,00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39 780 158,00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41 371 364,00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43 026 219,00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382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148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5.3.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учреждения дополнительного образования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149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255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150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5.4. Проведение ремонтных работ в зданиях и помещениях, в которых размещаются детские школы искусств, и (или) укрепление материально-технической базы таких организаций (учреждений)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1 309 732,56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1 309 732,56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5.1.1.5.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151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1 309 732,56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1 309 732,56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152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5.5. Мероприятия направленные на обеспечение антитеррористической безопасности образовательных организаций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388 640,33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388 640,33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153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388 640,33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388 640,33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153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154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5.6. Проведение городских мероприятий, участие коллективов в областных и международных мероприятий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550 000,00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300 000,00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250 000,00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5.1.1.2., 5.1.1.3., 5.1.1.4., 5.1.1.6.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155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550 000,00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300 000,00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156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ПОДПРОГРАММА  6. РАЗВИТИЕ ФИЗИЧЕСКОЙ КУЛЬТУРЫ И СПОРТА В КАМЫШЛОВСКОМ ГОРОДСКОМ ОКРУГЕ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157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ВСЕГО ПО ПОДПРОГРАММЕ, В ТОМ ЧИСЛЕ: РАЗВИТИЕ ФИЗИЧЕСКОЙ КУЛЬТУРЫ И СПОРТА В КАМЫШЛОВСКОМ ГОРОДСКОМ ОКРУГЕ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121 646 422,37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16 548 667,29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31 560 168,08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15 443 829,00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16 061 580,00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13 472 738,00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14 003 647,00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14 555 793,00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158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425 700,00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301 800,00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123 900,00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159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121 220 722,37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16 246 867,29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31 436 268,08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15 443 829,00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16 061 580,00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13 472 738,00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14 003 647,00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14 555 793,00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160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«Прочие нужды»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161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121 646 422,37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16 548 667,29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31 560 168,08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15 443 829,00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16 061 580,00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13 472 738,00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14 003 647,00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14 555 793,00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162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425 700,00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301 800,00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123 900,00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163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121 220 722,37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16 246 867,29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31 436 268,08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15 443 829,00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16 061 580,00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13 472 738,00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14 003 647,00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14 555 793,00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12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164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6.1. Предоставление услуг (выполнения работ) в сфере физической культуры и спорта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103 514 733,00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15 694 476,00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14 882 670,00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15 443 829,00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16 061 580,00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13 272 738,00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13 803 647,00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14 355 793,00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6.1.2.2., 6.1.2.3., 6.1.2.4., 6.1.2.5.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165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103 514 733,00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15 694 476,00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14 882 670,00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15 443 829,00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16 061 580,00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13 272 738,00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13 803 647,00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14 355 793,00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331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166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6.2. Капитальный ремонт.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физической культуры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6.3.1.1.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167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280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168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6.4. Мероприятия по поэтапному внедрению и реализации Всероссийского физкультурно-спортивного комплекса "Готов к труду и обороне" (ГТО) в Камышловском городском округе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963 900,00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186 300,00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177 600,00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200 000,00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200 000,00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200 000,00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6.1.1.1.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169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254 300,00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130 400,00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123 900,00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170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709 600,00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55 900,00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53 700,00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200 000,00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178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171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6.5.  Создания спортивных площадок (оснащения спортивным оборудованием) для занятий уличной гимнастикой.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667 891,29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667 891,29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6.1.2.1., 6.3.1.1.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172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171 400,00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171 400,00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173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496 491,29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496 491,29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102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174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6.6. Обустройство универсальных детских площадок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16 499 898,08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16 499 898,08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6.3.1.2.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175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16 499 898,08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16 499 898,08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176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ПОДПРОГРАММА  7. ОРГАНИЗАЦИЯ ОТДЫХА И ОЗДОРОВЛЕНИЯ ДЕТЕЙ В КАМЫШЛОВСКОМ ГОРОДСКОМ ОКРУГЕ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29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177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ВСЕГО ПО ПОДПРОГРАММЕ, В ТОМ ЧИСЛЕ: ОРГАНИЗАЦИЯ ОТДЫХА И ОЗДОРОВЛЕНИЯ ДЕТЕЙ В КАМЫШЛОВСКОМ ГОРОДСКОМ ОКРУГЕ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99 769 900,00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13 721 100,00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15 210 500,00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15 530 900,00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15 992 100,00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13 105 100,00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13 105 100,00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13 105 100,00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178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69 652 900,00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9 421 100,00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11 193 500,00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11 530 900,00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11 992 100,00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8 505 100,00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8 505 100,00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8 505 100,00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179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30 117 000,00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4 300 000,00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4 017 000,00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4 000 000,00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4 000 000,00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4 600 000,00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4 600 000,00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4 600 000,00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180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«Прочие нужды»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181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99 769 900,00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13 721 100,00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15 210 500,00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15 530 900,00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15 992 100,00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13 105 100,00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13 105 100,00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13 105 100,00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182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69 652 900,00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9 421 100,00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11 193 500,00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11 530 900,00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11 992 100,00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8 505 100,00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8 505 100,00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8 505 100,00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183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30 117 000,00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4 300 000,00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4 017 000,00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4 000 000,00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4 000 000,00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4 600 000,00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4 600 000,00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4 600 000,00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80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184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7.1.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94 892 800,00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12 597 200,00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14 008 100,00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14 280 500,00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14 691 700,00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13 105 100,00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13 105 100,00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13 105 100,00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7.1.1.1.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185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64 775 800,00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8 297 200,00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9 991 100,00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10 280 500,00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10 691 700,00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8 505 100,00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8 505 100,00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8 505 100,00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186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30 117 000,00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4 300 000,00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4 017 000,00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4 000 000,00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4 000 000,00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4 600 000,00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4 600 000,00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4 600 000,00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510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187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7.2.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4 877 100,00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1 123 900,00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1 202 400,00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1 250 400,00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1 300 400,00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7.1.1.2.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188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4 877 100,00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1 123 900,00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1 202 400,00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1 250 400,00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1 300 400,00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189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ПОДПРОГРАММА  8. РАЗВИТИЕ МОЛОДЕЖНОЙ ПОЛИТИКИ В КАМЫШЛОВСКОМ ГОРОДСКОМ ОКРУГЕ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190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ВСЕГО ПО ПОДПРОГРАММЕ, В ТОМ ЧИСЛЕ: РАЗВИТИЕ МОЛОДЕЖНОЙ ПОЛИТИКИ В КАМЫШЛОВСКОМ ГОРОДСКОМ ОКРУГЕ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2 620 000,00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820 000,00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450 000,00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191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2 620 000,00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820 000,00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450 000,00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192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«Прочие нужды»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193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2 620 000,00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820 000,00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450 000,00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194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2 620 000,00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820 000,00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450 000,00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195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8.1. Организация и осуществление мероприятий по приоритетным направлениям работы с молодежью в возрасте от 14 до 30 лет на территории Свердловской области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2 620 000,00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820 000,00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450 000,00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8.1.1.1.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196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2 620 000,00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820 000,00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450 000,00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197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ПОДПРОГРАММА  9. ПАТРИОТИЧЕСКОЕ ВОСПИТАНИЕ ГРАЖДАН В КАМЫШЛОВСКОМ ГОРОДСКОМ ОКРУГЕ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198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ВСЕГО ПО ПОДПРОГРАММЕ, В ТОМ ЧИСЛЕ: ПАТРИОТИЧЕСКОЕ ВОСПИТАНИЕ ГРАЖДАН В КАМЫШЛОВСКОМ ГОРОДСКОМ ОКРУГЕ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2 306 750,00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557 950,00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248 800,00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500 000,00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500 000,00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500 000,00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199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120 000,00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71 200,00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48 800,00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2 186 750,00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486 750,00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200 000,00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500 000,00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500 000,00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500 000,00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201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«Прочие нужды»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202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2 306 750,00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557 950,00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248 800,00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500 000,00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500 000,00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500 000,00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203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120 000,00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71 200,00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48 800,00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204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2 186 750,00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486 750,00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200 000,00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500 000,00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500 000,00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500 000,00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29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205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9.1. Организация мероприятий по патриотическому воспитанию, участию в мероприятиях по патриотическому воспитанию молодых граждан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900 000,00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300 000,00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9.1.3.1.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206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900 000,00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300 000,00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382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207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9.2. 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400 000,00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100 000,00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100 000,00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100 000,00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100 000,00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9.1.4.1.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208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400 000,00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100 000,00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280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209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9.3. Развитие учебно-материальной, наглядно-методической обеспеченности образовательных учреждений по профилактике и формированию основ безопасности жизнедеятельности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400 000,00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100 000,00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100 000,00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100 000,00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100 000,00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9.1.1.1.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210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400 000,00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100 000,00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153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211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9.4.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606 750,00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357 950,00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248 800,00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9.1.3.1.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212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120 000,00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71 200,00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48 800,00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213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486 750,00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286 750,00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214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ПОДПРОГРАММА  10. ПРОФИЛАКТИКА АСОЦИАЛЬНЫХ ЯВЛЕНИЙ В КАМЫШЛОВСКОМ ГОРОДСКОМ ОКРУГЕ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215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ВСЕГО ПО ПОДПРОГРАММЕ, В ТОМ ЧИСЛЕ: ПРОФИЛАКТИКА АСОЦИАЛЬНЫХ ЯВЛЕНИЙ В КАМЫШЛОВСКОМ ГОРОДСКОМ ОКРУГЕ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1 350 000,00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200 000,00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250 000,00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300 000,00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216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1 350 000,00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200 000,00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250 000,00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300 000,00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217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«Прочие нужды»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218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1 350 000,00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200 000,00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250 000,00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300 000,00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219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1 350 000,00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200 000,00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250 000,00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300 000,00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102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220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10.1. Мероприятия по профилактике асоциальных явлений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1 350 000,00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200 000,00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250 000,00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300 000,00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10.1.1.1., 10.1.1.2., 10.1.2.1., 10.1.3.1., 10.1.3.2.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221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1 350 000,00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300 000,00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222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ПОДПРОГРАММА  11. 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433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223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ВСЕГО ПО ПОДПРОГРАММЕ, В ТОМ ЧИСЛЕ: 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142 517 682,82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19 015 526,82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19 202 245,00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18 526 767,00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19 166 088,00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21 337 473,00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22 190 972,00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23 078 611,00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224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142 517 682,82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19 015 526,82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19 202 245,00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18 526 767,00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19 166 088,00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21 337 473,00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22 190 972,00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23 078 611,00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225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«Прочие нужды»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226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142 517 682,82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19 015 526,82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19 202 245,00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18 526 767,00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19 166 088,00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21 337 473,00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22 190 972,00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23 078 611,00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227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142 517 682,82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19 015 526,82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19 202 245,00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18 526 767,00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19 166 088,00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21 337 473,00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22 190 972,00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23 078 611,00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331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228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11.1. Финансовое обеспечение реализации муниципальной программы Камышловского городского округа " Развитие образования, культуры. Спорта и молодежной политики в Камышловском городском округе до 2027 года"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140 397 682,82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18 065 526,82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18 032 245,00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18 526 767,00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19 166 088,00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21 337 473,00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22 190 972,00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23 078 611,00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11.1.1.1., 11.1.2.1., 11.1.3.1., 11.2.1.1., 11.2.1.2., 11.2.1.3., 11.2.1.4., 11.2.2.1.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229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140 397 682,82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18 065 526,82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18 032 245,00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18 526 767,00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19 166 088,00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21 337 473,00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22 190 972,00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23 078 611,00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255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230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11.2. обеспечение деятельности Территориальной муниципальной психолого-медико-педагогической комиссии Камышловского городского округа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2 120 000,00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950 000,00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1 170 000,00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11.3.1.1.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231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2 120 000,00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950 000,00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1 170 000,00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232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ПОДПРОГРАММА  12. РАЗВИТИЕ ИНЖЕНЕРНОЙ ШКОЛЫ В КАМЫШЛОВСКОМ ГОРОДСКОМ ОКРУГЕ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233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ВСЕГО ПО ПОДПРОГРАММЕ, В ТОМ ЧИСЛЕ: РАЗВИТИЕ ИНЖЕНЕРНОЙ ШКОЛЫ В КАМЫШЛОВСКОМ ГОРОДСКОМ ОКРУГЕ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5 220 000,00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5 220 000,00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234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3 195 000,00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3 195 000,00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235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2 025 000,00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2 025 000,00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236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«Прочие нужды»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237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5 220 000,00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5 220 000,00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238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3 195 000,00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3 195 000,00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239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2 025 000,00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2 025 000,00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306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12.1. Обеспечение условий реализации муниципальными образовательными организациями образовательных программ естественнонаучного цикла и профориентационной работы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4 500 000,00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4 500 000,00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12.1.1.1., 12.1.1.2., 12.1.1.3., 12.1.3.1., 2.1.1.8.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241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2 475 000,00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2 475 000,00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242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2 025 000,00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2 025 000,00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433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243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12.2. Поддержка победителей конкурса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проекта "Уральская инженерная школа"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720 000,00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720 000,00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12.1.2.1.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720 000,00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720 000,00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245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ПОДПРОГРАММА  13.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382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246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ВСЕГО ПО ПОДПРОГРАММЕ, В ТОМ ЧИСЛЕ: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100 000,00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100 000,00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247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100 000,00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100 000,00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248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54" w:before="0" w:after="160"/>
              <w:jc w:val="center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«Прочие нужды»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249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100 000,00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100 000,00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250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100 000,00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100 000,00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>
        <w:trPr>
          <w:trHeight w:val="12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251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Мероприятие 13.1. Мероприятия по гармонизации межэтнических отношений 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50 000,00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50 000,00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13.1.1.2., 13.1.2.1.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252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50 000,00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50 000,00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  <w:tr>
        <w:trPr>
          <w:trHeight w:val="102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253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Мероприятие 13.2. Мероприятия по профилактике экстремизма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50 000,00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50 000,00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jc w:val="right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spacing w:lineRule="auto" w:line="254" w:before="0" w:after="160"/>
              <w:rPr>
                <w:b/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13.1.2.2.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254</w:t>
            </w:r>
          </w:p>
        </w:tc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50 000,00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50 000,00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54" w:before="0" w:after="1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</w:tr>
    </w:tbl>
    <w:p>
      <w:pPr>
        <w:pStyle w:val="Style19"/>
        <w:tabs>
          <w:tab w:val="clear" w:pos="708"/>
          <w:tab w:val="left" w:pos="720" w:leader="none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sectPr>
      <w:type w:val="nextPage"/>
      <w:pgSz w:orient="landscape" w:w="16838" w:h="11906"/>
      <w:pgMar w:left="1134" w:right="1134" w:header="0" w:top="567" w:footer="0" w:bottom="1418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swiss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Style19"/>
    <w:next w:val="Style19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</w:rPr>
  </w:style>
  <w:style w:type="paragraph" w:styleId="3">
    <w:name w:val="Heading 3"/>
    <w:basedOn w:val="Style19"/>
    <w:next w:val="Style19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Style19"/>
    <w:next w:val="Style19"/>
    <w:qFormat/>
    <w:pPr>
      <w:keepNext w:val="true"/>
      <w:numPr>
        <w:ilvl w:val="3"/>
        <w:numId w:val="1"/>
      </w:numPr>
      <w:suppressAutoHyphens w:val="true"/>
      <w:spacing w:before="240" w:after="60"/>
      <w:outlineLvl w:val="3"/>
    </w:pPr>
    <w:rPr>
      <w:b/>
      <w:bCs/>
      <w:szCs w:val="28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Гиперссылка"/>
    <w:qFormat/>
    <w:rPr>
      <w:color w:val="0000FF"/>
      <w:u w:val="single"/>
    </w:rPr>
  </w:style>
  <w:style w:type="character" w:styleId="2">
    <w:name w:val="Основной текст (2)_"/>
    <w:qFormat/>
    <w:rPr>
      <w:b/>
      <w:bCs/>
      <w:i/>
      <w:iCs/>
      <w:spacing w:val="2"/>
      <w:sz w:val="25"/>
      <w:szCs w:val="25"/>
      <w:lang w:bidi="ar-SA"/>
    </w:rPr>
  </w:style>
  <w:style w:type="character" w:styleId="11">
    <w:name w:val="Основной текст + Полужирный1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Style14">
    <w:name w:val="Основной текст Знак"/>
    <w:qFormat/>
    <w:rPr>
      <w:b/>
      <w:sz w:val="24"/>
      <w:lang w:val="ru-RU" w:eastAsia="ru-RU" w:bidi="ar-SA"/>
    </w:rPr>
  </w:style>
  <w:style w:type="character" w:styleId="12">
    <w:name w:val="Заголовок №1_"/>
    <w:qFormat/>
    <w:rPr>
      <w:b/>
      <w:bCs/>
      <w:spacing w:val="10"/>
      <w:sz w:val="24"/>
      <w:szCs w:val="24"/>
      <w:lang w:bidi="ar-SA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6">
    <w:name w:val="Просмотренная гиперссылка"/>
    <w:basedOn w:val="Style11"/>
    <w:qFormat/>
    <w:rPr>
      <w:rFonts w:cs="Times New Roman"/>
      <w:color w:val="80008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8">
    <w:name w:val="Body Text"/>
    <w:basedOn w:val="Style19"/>
    <w:pPr>
      <w:suppressAutoHyphens w:val="true"/>
      <w:jc w:val="center"/>
    </w:pPr>
    <w:rPr>
      <w:b/>
      <w:sz w:val="24"/>
    </w:rPr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Знак"/>
    <w:basedOn w:val="Style19"/>
    <w:qFormat/>
    <w:pPr>
      <w:suppressAutoHyphens w:val="true"/>
    </w:pPr>
    <w:rPr>
      <w:rFonts w:ascii="Verdana" w:hAnsi="Verdana" w:cs="Verdana"/>
      <w:sz w:val="20"/>
      <w:lang w:val="en-US" w:eastAsia="en-US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ru-RU" w:bidi="ar-SA"/>
    </w:rPr>
  </w:style>
  <w:style w:type="paragraph" w:styleId="21">
    <w:name w:val="Основной текст 2"/>
    <w:basedOn w:val="Style19"/>
    <w:qFormat/>
    <w:pPr>
      <w:suppressAutoHyphens w:val="true"/>
      <w:spacing w:lineRule="auto" w:line="480" w:before="0" w:after="120"/>
    </w:pPr>
    <w:rPr/>
  </w:style>
  <w:style w:type="paragraph" w:styleId="Style23">
    <w:name w:val="Body Text Indent"/>
    <w:basedOn w:val="Style19"/>
    <w:pPr>
      <w:tabs>
        <w:tab w:val="clear" w:pos="708"/>
      </w:tabs>
      <w:suppressAutoHyphens w:val="true"/>
      <w:spacing w:before="0" w:after="120"/>
      <w:ind w:left="283" w:right="0" w:hanging="0"/>
    </w:pPr>
    <w:rPr/>
  </w:style>
  <w:style w:type="paragraph" w:styleId="31">
    <w:name w:val="Основной текст с отступом 3"/>
    <w:basedOn w:val="Style19"/>
    <w:qFormat/>
    <w:pPr>
      <w:tabs>
        <w:tab w:val="clear" w:pos="708"/>
      </w:tabs>
      <w:suppressAutoHyphens w:val="true"/>
      <w:spacing w:before="0" w:after="120"/>
      <w:ind w:left="283" w:right="0" w:hanging="0"/>
    </w:pPr>
    <w:rPr>
      <w:sz w:val="16"/>
      <w:szCs w:val="16"/>
    </w:rPr>
  </w:style>
  <w:style w:type="paragraph" w:styleId="22">
    <w:name w:val="Основной текст с отступом 2"/>
    <w:basedOn w:val="Style19"/>
    <w:qFormat/>
    <w:pPr>
      <w:tabs>
        <w:tab w:val="clear" w:pos="708"/>
      </w:tabs>
      <w:suppressAutoHyphens w:val="true"/>
      <w:spacing w:lineRule="auto" w:line="480" w:before="0" w:after="120"/>
      <w:ind w:left="283" w:right="0" w:hanging="0"/>
    </w:pPr>
    <w:rPr>
      <w:sz w:val="20"/>
    </w:rPr>
  </w:style>
  <w:style w:type="paragraph" w:styleId="Style24">
    <w:name w:val="Обычный (веб)"/>
    <w:basedOn w:val="Style19"/>
    <w:qFormat/>
    <w:pPr>
      <w:suppressAutoHyphens w:val="true"/>
      <w:autoSpaceDE w:val="false"/>
    </w:pPr>
    <w:rPr>
      <w:sz w:val="24"/>
      <w:szCs w:val="24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5">
    <w:name w:val="Знак Знак Знак Знак Знак Знак Знак Знак Знак Знак"/>
    <w:basedOn w:val="Style19"/>
    <w:qFormat/>
    <w:pPr>
      <w:suppressAutoHyphens w:val="true"/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paragraph" w:styleId="32">
    <w:name w:val="Основной текст 3"/>
    <w:basedOn w:val="Style19"/>
    <w:qFormat/>
    <w:pPr>
      <w:suppressAutoHyphens w:val="true"/>
      <w:spacing w:before="0" w:after="120"/>
    </w:pPr>
    <w:rPr>
      <w:sz w:val="16"/>
      <w:szCs w:val="16"/>
    </w:rPr>
  </w:style>
  <w:style w:type="paragraph" w:styleId="13">
    <w:name w:val="Знак1"/>
    <w:basedOn w:val="Style19"/>
    <w:qFormat/>
    <w:pPr>
      <w:widowControl w:val="false"/>
      <w:suppressAutoHyphens w:val="true"/>
      <w:jc w:val="both"/>
    </w:pPr>
    <w:rPr>
      <w:rFonts w:eastAsia="SimSun"/>
      <w:kern w:val="2"/>
      <w:sz w:val="21"/>
      <w:lang w:val="en-US" w:eastAsia="zh-CN"/>
    </w:rPr>
  </w:style>
  <w:style w:type="paragraph" w:styleId="Style26">
    <w:name w:val="Знак Знак Знак Знак"/>
    <w:basedOn w:val="Style19"/>
    <w:qFormat/>
    <w:pPr>
      <w:suppressAutoHyphens w:val="true"/>
    </w:pPr>
    <w:rPr>
      <w:rFonts w:ascii="Verdana" w:hAnsi="Verdana" w:cs="Verdana"/>
      <w:sz w:val="20"/>
      <w:lang w:val="en-US" w:eastAsia="en-US"/>
    </w:rPr>
  </w:style>
  <w:style w:type="paragraph" w:styleId="Style27">
    <w:name w:val="Foot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23">
    <w:name w:val="Основной текст (2)"/>
    <w:basedOn w:val="Style19"/>
    <w:qFormat/>
    <w:pPr>
      <w:shd w:fill="FFFFFF" w:val="clear"/>
      <w:suppressAutoHyphens w:val="true"/>
      <w:spacing w:lineRule="exact" w:line="326" w:before="240" w:after="240"/>
      <w:jc w:val="center"/>
    </w:pPr>
    <w:rPr>
      <w:b/>
      <w:bCs/>
      <w:i/>
      <w:iCs/>
      <w:spacing w:val="2"/>
      <w:sz w:val="25"/>
      <w:szCs w:val="25"/>
    </w:rPr>
  </w:style>
  <w:style w:type="paragraph" w:styleId="14">
    <w:name w:val="Заголовок №1"/>
    <w:basedOn w:val="Style19"/>
    <w:qFormat/>
    <w:pPr>
      <w:numPr>
        <w:ilvl w:val="0"/>
        <w:numId w:val="0"/>
      </w:numPr>
      <w:shd w:fill="FFFFFF" w:val="clear"/>
      <w:suppressAutoHyphens w:val="true"/>
      <w:spacing w:lineRule="exact" w:line="326" w:before="0" w:after="600"/>
      <w:jc w:val="center"/>
      <w:outlineLvl w:val="0"/>
    </w:pPr>
    <w:rPr>
      <w:b/>
      <w:bCs/>
      <w:spacing w:val="10"/>
      <w:sz w:val="24"/>
      <w:szCs w:val="24"/>
    </w:rPr>
  </w:style>
  <w:style w:type="paragraph" w:styleId="Style28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ru-RU" w:bidi="ar-SA"/>
    </w:rPr>
  </w:style>
  <w:style w:type="paragraph" w:styleId="Style29">
    <w:name w:val="Текст выноски"/>
    <w:basedOn w:val="Style19"/>
    <w:qFormat/>
    <w:pPr>
      <w:suppressAutoHyphens w:val="true"/>
    </w:pPr>
    <w:rPr>
      <w:rFonts w:ascii="Tahoma" w:hAnsi="Tahoma"/>
      <w:sz w:val="16"/>
      <w:szCs w:val="16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shd w:fill="auto" w:val="clear"/>
      <w:vertAlign w:val="baseline"/>
      <w:em w:val="none"/>
      <w:lang w:val="ru-RU" w:eastAsia="ru-RU" w:bidi="ar-SA"/>
    </w:rPr>
  </w:style>
  <w:style w:type="paragraph" w:styleId="Style30">
    <w:name w:val="Абзац списка"/>
    <w:basedOn w:val="Style19"/>
    <w:qFormat/>
    <w:pPr>
      <w:tabs>
        <w:tab w:val="clear" w:pos="708"/>
      </w:tabs>
      <w:suppressAutoHyphens w:val="true"/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Xl65">
    <w:name w:val="xl65"/>
    <w:basedOn w:val="Style1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styleId="Xl66">
    <w:name w:val="xl66"/>
    <w:basedOn w:val="Style1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textAlignment w:val="top"/>
    </w:pPr>
    <w:rPr>
      <w:sz w:val="24"/>
      <w:szCs w:val="24"/>
    </w:rPr>
  </w:style>
  <w:style w:type="paragraph" w:styleId="Xl67">
    <w:name w:val="xl67"/>
    <w:basedOn w:val="Style1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top"/>
    </w:pPr>
    <w:rPr>
      <w:sz w:val="24"/>
      <w:szCs w:val="24"/>
    </w:rPr>
  </w:style>
  <w:style w:type="paragraph" w:styleId="Xl68">
    <w:name w:val="xl68"/>
    <w:basedOn w:val="Style1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right"/>
      <w:textAlignment w:val="top"/>
    </w:pPr>
    <w:rPr>
      <w:sz w:val="24"/>
      <w:szCs w:val="24"/>
    </w:rPr>
  </w:style>
  <w:style w:type="paragraph" w:styleId="Xl69">
    <w:name w:val="xl69"/>
    <w:basedOn w:val="Style1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styleId="Xl70">
    <w:name w:val="xl70"/>
    <w:basedOn w:val="Style1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styleId="Xl71">
    <w:name w:val="xl71"/>
    <w:basedOn w:val="Style1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uppressAutoHyphens w:val="true"/>
      <w:spacing w:before="100" w:after="100"/>
      <w:jc w:val="center"/>
      <w:textAlignment w:val="top"/>
    </w:pPr>
    <w:rPr>
      <w:b/>
      <w:bCs/>
      <w:color w:val="000000"/>
      <w:sz w:val="24"/>
      <w:szCs w:val="24"/>
    </w:rPr>
  </w:style>
  <w:style w:type="paragraph" w:styleId="Xl72">
    <w:name w:val="xl72"/>
    <w:basedOn w:val="Style1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textAlignment w:val="top"/>
    </w:pPr>
    <w:rPr>
      <w:sz w:val="24"/>
      <w:szCs w:val="24"/>
    </w:rPr>
  </w:style>
  <w:style w:type="paragraph" w:styleId="Xl73">
    <w:name w:val="xl73"/>
    <w:basedOn w:val="Style1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right"/>
      <w:textAlignment w:val="top"/>
    </w:pPr>
    <w:rPr>
      <w:sz w:val="24"/>
      <w:szCs w:val="24"/>
    </w:rPr>
  </w:style>
  <w:style w:type="paragraph" w:styleId="Xl74">
    <w:name w:val="xl74"/>
    <w:basedOn w:val="Style1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styleId="Xl75">
    <w:name w:val="xl75"/>
    <w:basedOn w:val="Style1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uppressAutoHyphens w:val="true"/>
      <w:spacing w:before="100" w:after="100"/>
    </w:pPr>
    <w:rPr>
      <w:b/>
      <w:bCs/>
      <w:color w:val="000000"/>
      <w:sz w:val="24"/>
      <w:szCs w:val="24"/>
    </w:rPr>
  </w:style>
  <w:style w:type="paragraph" w:styleId="Xl76">
    <w:name w:val="xl76"/>
    <w:basedOn w:val="Style1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uppressAutoHyphens w:val="true"/>
      <w:spacing w:before="100" w:after="100"/>
    </w:pPr>
    <w:rPr>
      <w:b/>
      <w:bCs/>
      <w:color w:val="000000"/>
      <w:sz w:val="24"/>
      <w:szCs w:val="24"/>
    </w:rPr>
  </w:style>
  <w:style w:type="paragraph" w:styleId="Xl77">
    <w:name w:val="xl77"/>
    <w:basedOn w:val="Style1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uppressAutoHyphens w:val="true"/>
      <w:spacing w:before="100" w:after="100"/>
    </w:pPr>
    <w:rPr>
      <w:b/>
      <w:bCs/>
      <w:color w:val="000000"/>
      <w:sz w:val="24"/>
      <w:szCs w:val="24"/>
    </w:rPr>
  </w:style>
  <w:style w:type="paragraph" w:styleId="Xl78">
    <w:name w:val="xl78"/>
    <w:basedOn w:val="Style1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uppressAutoHyphens w:val="true"/>
      <w:spacing w:before="100" w:after="100"/>
    </w:pPr>
    <w:rPr>
      <w:color w:val="000000"/>
      <w:sz w:val="24"/>
      <w:szCs w:val="24"/>
    </w:rPr>
  </w:style>
  <w:style w:type="paragraph" w:styleId="Xl79">
    <w:name w:val="xl79"/>
    <w:basedOn w:val="Style1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uppressAutoHyphens w:val="true"/>
      <w:spacing w:before="100" w:after="100"/>
    </w:pPr>
    <w:rPr>
      <w:color w:val="000000"/>
      <w:sz w:val="24"/>
      <w:szCs w:val="24"/>
    </w:rPr>
  </w:style>
  <w:style w:type="paragraph" w:styleId="Xl80">
    <w:name w:val="xl80"/>
    <w:basedOn w:val="Style1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uppressAutoHyphens w:val="true"/>
      <w:spacing w:before="100" w:after="100"/>
    </w:pPr>
    <w:rPr>
      <w:color w:val="000000"/>
      <w:sz w:val="24"/>
      <w:szCs w:val="24"/>
    </w:rPr>
  </w:style>
  <w:style w:type="paragraph" w:styleId="Xl81">
    <w:name w:val="xl81"/>
    <w:basedOn w:val="Style1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uppressAutoHyphens w:val="true"/>
      <w:spacing w:before="100" w:after="100"/>
      <w:jc w:val="center"/>
      <w:textAlignment w:val="top"/>
    </w:pPr>
    <w:rPr>
      <w:color w:val="000000"/>
      <w:sz w:val="24"/>
      <w:szCs w:val="24"/>
    </w:rPr>
  </w:style>
  <w:style w:type="paragraph" w:styleId="Xl82">
    <w:name w:val="xl82"/>
    <w:basedOn w:val="Style19"/>
    <w:qFormat/>
    <w:pPr>
      <w:suppressAutoHyphens w:val="true"/>
      <w:spacing w:before="100" w:after="100"/>
      <w:textAlignment w:val="top"/>
    </w:pPr>
    <w:rPr>
      <w:sz w:val="24"/>
      <w:szCs w:val="24"/>
    </w:rPr>
  </w:style>
  <w:style w:type="paragraph" w:styleId="Xl83">
    <w:name w:val="xl83"/>
    <w:basedOn w:val="Style19"/>
    <w:qFormat/>
    <w:pPr>
      <w:suppressAutoHyphens w:val="true"/>
      <w:spacing w:before="100" w:after="100"/>
      <w:jc w:val="right"/>
      <w:textAlignment w:val="top"/>
    </w:pPr>
    <w:rPr>
      <w:sz w:val="24"/>
      <w:szCs w:val="24"/>
    </w:rPr>
  </w:style>
  <w:style w:type="paragraph" w:styleId="Xl84">
    <w:name w:val="xl84"/>
    <w:basedOn w:val="Style19"/>
    <w:qFormat/>
    <w:pPr>
      <w:suppressAutoHyphens w:val="true"/>
      <w:spacing w:before="100" w:after="100"/>
      <w:textAlignment w:val="top"/>
    </w:pPr>
    <w:rPr>
      <w:sz w:val="24"/>
      <w:szCs w:val="24"/>
    </w:rPr>
  </w:style>
  <w:style w:type="paragraph" w:styleId="Xl85">
    <w:name w:val="xl85"/>
    <w:basedOn w:val="Style19"/>
    <w:qFormat/>
    <w:pPr>
      <w:suppressAutoHyphens w:val="true"/>
      <w:spacing w:before="100" w:after="100"/>
      <w:jc w:val="right"/>
      <w:textAlignment w:val="top"/>
    </w:pPr>
    <w:rPr>
      <w:sz w:val="24"/>
      <w:szCs w:val="24"/>
    </w:rPr>
  </w:style>
  <w:style w:type="paragraph" w:styleId="Style31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LibreOffice/7.0.6.2$Linux_X86_64 LibreOffice_project/00$Build-2</Application>
  <AppVersion>15.0000</AppVersion>
  <Pages>97</Pages>
  <Words>13797</Words>
  <Characters>86481</Characters>
  <CharactersWithSpaces>98630</CharactersWithSpaces>
  <Paragraphs>4185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2022-06-09T11:26:00Z</dcterms:created>
  <dc:creator>Администратор</dc:creator>
  <dc:description/>
  <dc:language>ru-RU</dc:language>
  <cp:lastModifiedBy/>
  <cp:lastPrinted>2022-06-15T15:18:08Z</cp:lastPrinted>
  <dcterms:modified xsi:type="dcterms:W3CDTF">2022-06-15T15:30:27Z</dcterms:modified>
  <cp:revision>6</cp:revision>
  <dc:subject/>
  <dc:title/>
</cp:coreProperties>
</file>