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40"/>
        <w:jc w:val="center"/>
        <w:rPr/>
      </w:pPr>
      <w:r>
        <w:rPr/>
        <w:drawing>
          <wp:inline distT="0" distB="0" distL="0" distR="0">
            <wp:extent cx="358775" cy="44513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95" t="-962" r="-1195" b="-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40"/>
        <w:widowControl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40"/>
        <w:widowControl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40"/>
        <w:widowControl/>
        <w:pBdr>
          <w:top w:val="double" w:sz="12" w:space="1" w:color="000000"/>
        </w:pBdr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cs="Liberation Serif;Times New Roman"/>
          <w:b/>
          <w:bCs/>
          <w:i w:val="false"/>
          <w:iCs w:val="false"/>
          <w:color w:val="000000"/>
          <w:sz w:val="28"/>
          <w:szCs w:val="28"/>
          <w:lang w:val="ru-RU" w:eastAsia="ru-RU"/>
        </w:rPr>
        <w:t xml:space="preserve">от </w:t>
      </w:r>
      <w:r>
        <w:rPr>
          <w:rFonts w:eastAsia="Times New Roman" w:cs="Liberation Serif;Times New Roman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auto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val="ru-RU" w:eastAsia="ru-RU" w:bidi="ar-SA"/>
        </w:rPr>
        <w:t>07.10.</w:t>
      </w:r>
      <w:r>
        <w:rPr>
          <w:rFonts w:cs="Liberation Serif;Times New Roman"/>
          <w:b/>
          <w:bCs/>
          <w:i w:val="false"/>
          <w:iCs w:val="false"/>
          <w:color w:val="000000"/>
          <w:sz w:val="28"/>
          <w:szCs w:val="28"/>
          <w:lang w:val="ru-RU" w:eastAsia="ru-RU"/>
        </w:rPr>
        <w:t>2021   № 73</w:t>
      </w:r>
      <w:r>
        <w:rPr>
          <w:rFonts w:cs="Liberation Serif;Times New Roman"/>
          <w:b/>
          <w:bCs/>
          <w:i w:val="false"/>
          <w:iCs w:val="false"/>
          <w:color w:val="000000"/>
          <w:sz w:val="28"/>
          <w:szCs w:val="28"/>
          <w:lang w:val="ru-RU" w:eastAsia="ru-RU"/>
        </w:rPr>
        <w:t>1</w:t>
      </w:r>
    </w:p>
    <w:p>
      <w:pPr>
        <w:pStyle w:val="Normal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организации проведения конкурсного отбора </w:t>
      </w:r>
    </w:p>
    <w:p>
      <w:pPr>
        <w:pStyle w:val="Normal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предоставление из бюджета Камышловского городского округа 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субсидий на </w:t>
      </w:r>
      <w:r>
        <w:rPr>
          <w:rFonts w:cs="Times New Roman"/>
          <w:b/>
          <w:bCs/>
          <w:color w:val="000000"/>
          <w:sz w:val="28"/>
          <w:szCs w:val="28"/>
        </w:rPr>
        <w:t xml:space="preserve">компенсацию части затрат по развитию бизнеса </w:t>
      </w:r>
    </w:p>
    <w:p>
      <w:pPr>
        <w:pStyle w:val="Normal"/>
        <w:jc w:val="center"/>
        <w:rPr>
          <w:rFonts w:ascii="Liberation Serif" w:hAnsi="Liberation Serif"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субъектам малого и среднего предпринимательства </w:t>
      </w:r>
    </w:p>
    <w:p>
      <w:pPr>
        <w:pStyle w:val="Normal"/>
        <w:jc w:val="center"/>
        <w:rPr>
          <w:rFonts w:ascii="Liberation Serif" w:hAnsi="Liberation Serif"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на территории Камышловского городского округа в 2021 году</w:t>
      </w:r>
    </w:p>
    <w:p>
      <w:pPr>
        <w:pStyle w:val="Normal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78.1 Бюджетного кодекса Российской Федерации, Федеральным законом </w:t>
      </w:r>
      <w:r>
        <w:rPr>
          <w:rFonts w:cs="Times New Roman"/>
          <w:color w:val="000000"/>
          <w:sz w:val="28"/>
          <w:szCs w:val="28"/>
        </w:rPr>
        <w:t>от 24.07.2007 года № 209-ФЗ «О развитии малого и среднего предпринимательства в Российской Федерации»</w:t>
      </w:r>
      <w:r>
        <w:rPr>
          <w:color w:val="000000"/>
          <w:sz w:val="28"/>
          <w:szCs w:val="28"/>
        </w:rPr>
        <w:t xml:space="preserve">, Федеральным законом от 06 октября 2003 года № 131-ФЗ «Об общих принципах организации местного самоуправления в Российской Федерации», </w:t>
      </w:r>
      <w:bookmarkStart w:id="1" w:name="_Hlk495410720"/>
      <w:r>
        <w:rPr>
          <w:color w:val="000000"/>
          <w:sz w:val="28"/>
          <w:szCs w:val="28"/>
        </w:rPr>
        <w:t xml:space="preserve"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>
        <w:rPr>
          <w:bCs/>
          <w:color w:val="000000"/>
          <w:sz w:val="28"/>
          <w:szCs w:val="28"/>
        </w:rPr>
        <w:t xml:space="preserve">Постановлением администрации Камышловского городского округа от 23.08.2021 № 586 «Об утверждении Порядка предоставления из бюджета Камышловского городского округа субсидий на </w:t>
      </w:r>
      <w:r>
        <w:rPr>
          <w:rFonts w:cs="Times New Roman"/>
          <w:bCs/>
          <w:color w:val="000000"/>
          <w:sz w:val="28"/>
          <w:szCs w:val="28"/>
        </w:rPr>
        <w:t xml:space="preserve">компенсацию части затрат по развитию бизнеса субъектам малого и среднего предпринимательства на территории Камышловского городского округа», </w:t>
      </w:r>
      <w:r>
        <w:rPr>
          <w:rFonts w:cs="Times New Roman"/>
          <w:color w:val="000000"/>
          <w:sz w:val="28"/>
          <w:szCs w:val="28"/>
        </w:rPr>
        <w:t xml:space="preserve">в целях содействия развитию малого и среднего предпринимательства, реализации подпрограммы «Развитие малого и среднего предпринимательства на территории Камышловского городского округа» муниципальной программы «Развитие социально-экономического комплекса Камышловского городского округа на 2021-2027 годы», утвержденной постановлением главы Камышловского городского округа от 09.11.2018 № 965 (с изменениями), в соответствии с Приказом финансового управления администрации Камышловского городского округа от 29.12.2020 г. №119-О «Об утверждении </w:t>
      </w:r>
      <w:r>
        <w:rPr>
          <w:rFonts w:cs="Times New Roman"/>
          <w:bCs/>
          <w:color w:val="000000"/>
          <w:sz w:val="28"/>
          <w:szCs w:val="28"/>
        </w:rPr>
        <w:t>Типовой формой договора (соглашения) о предоставлении субсидии (гранта в форме субсидии) из бюджета Камышловского городского округа юридическим лицам, индивидуальным предпринимателям, а также физическим лицам – производителям товаров, работ, услуг в соответствии с пунктами 3 и 7 статьи 78, пунктами 2 и 4 статьи 78.1 Бюджетного кодекса Российской Федерации»,</w:t>
      </w:r>
      <w:r>
        <w:rPr>
          <w:color w:val="000000"/>
          <w:sz w:val="28"/>
          <w:szCs w:val="28"/>
        </w:rPr>
        <w:t xml:space="preserve"> </w:t>
      </w:r>
      <w:bookmarkEnd w:id="1"/>
      <w:r>
        <w:rPr>
          <w:color w:val="000000"/>
          <w:sz w:val="28"/>
          <w:szCs w:val="28"/>
        </w:rPr>
        <w:t>руководствуясь Уставом Камышловского городского округа, администрация Камышловского городского округа</w:t>
      </w:r>
    </w:p>
    <w:p>
      <w:pPr>
        <w:pStyle w:val="Normal"/>
        <w:jc w:val="both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ПОСТАНОВЛЯЕТ: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color w:val="000000"/>
          <w:sz w:val="28"/>
          <w:szCs w:val="28"/>
        </w:rPr>
        <w:t xml:space="preserve">1. Организовать конкурсный отбор на предоставление из бюджета Камышловского городского округа субсидий на </w:t>
      </w:r>
      <w:r>
        <w:rPr>
          <w:rFonts w:cs="Times New Roman"/>
          <w:color w:val="000000"/>
          <w:sz w:val="28"/>
          <w:szCs w:val="28"/>
        </w:rPr>
        <w:t>компенсацию части затрат по развитию бизнеса субъектам малого и среднего предпринимательства (далее - СМСП) на территории Камышловского городского округа</w:t>
      </w:r>
      <w:r>
        <w:rPr>
          <w:color w:val="000000"/>
          <w:sz w:val="28"/>
          <w:szCs w:val="28"/>
        </w:rPr>
        <w:t xml:space="preserve"> в 2021 году в соответствии с Порядком предоставления из бюджета Камышловского городского округа субсидий на </w:t>
      </w:r>
      <w:r>
        <w:rPr>
          <w:rFonts w:cs="Times New Roman"/>
          <w:color w:val="000000"/>
          <w:sz w:val="28"/>
          <w:szCs w:val="28"/>
        </w:rPr>
        <w:t>компенсацию части затрат по развитию бизнеса субъектам малого и среднего предпринимательства на территории Камышловского городского округа, утвержденным постановлением администрации Камышловского городского округа от 23.08.2021 № 586, (далее - Порядок)</w:t>
      </w:r>
      <w:r>
        <w:rPr>
          <w:color w:val="000000"/>
          <w:sz w:val="28"/>
          <w:szCs w:val="28"/>
        </w:rPr>
        <w:t>.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 период с момента опубликования в средствах массовой информации объявления о конкурсном отборе по 15 ноября 2021 года производится прием заявок на участие в конкурсном отборе на право получения из бюджета Камышловского городского округа субсидии на компенсацию части затрат по развитию бизнеса субъектам малого и среднего предпринимательства на территории Камышловского городского округа.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Заявки принимаются </w:t>
      </w:r>
      <w:r>
        <w:rPr>
          <w:rFonts w:cs="Liberation Serif"/>
          <w:bCs/>
          <w:color w:val="000000"/>
          <w:sz w:val="28"/>
          <w:szCs w:val="28"/>
        </w:rPr>
        <w:t>по форме согласно Приложению №1 к Порядку по адресу: 624860, Свердловская область, г.Камышлов, ул.Свердлова, д.41, каб.5 с 8.00 до 12.00 часов и 13.00 до 16.00 часов в рабочие дни.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Заявки принимаются с содержанием следующих документов:</w:t>
      </w:r>
    </w:p>
    <w:p>
      <w:pPr>
        <w:pStyle w:val="Normal"/>
        <w:ind w:left="0" w:right="0" w:firstLine="851"/>
        <w:jc w:val="both"/>
        <w:rPr/>
      </w:pPr>
      <w:r>
        <w:rPr>
          <w:rFonts w:cs="Liberation Serif"/>
          <w:bCs/>
          <w:color w:val="000000"/>
          <w:sz w:val="28"/>
          <w:szCs w:val="28"/>
        </w:rPr>
        <w:t xml:space="preserve">1) </w:t>
      </w:r>
      <w:hyperlink r:id="rId3" w:tgtFrame="_top">
        <w:r>
          <w:rPr>
            <w:rStyle w:val="Style"/>
            <w:rFonts w:cs="Liberation Serif"/>
            <w:bCs/>
            <w:color w:val="000000"/>
            <w:sz w:val="28"/>
            <w:szCs w:val="28"/>
          </w:rPr>
          <w:t>заявка</w:t>
        </w:r>
      </w:hyperlink>
      <w:r>
        <w:rPr>
          <w:rFonts w:cs="Liberation Serif"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получение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</w:t>
      </w:r>
      <w:r>
        <w:rPr>
          <w:rFonts w:cs="Liberation Serif"/>
          <w:bCs/>
          <w:color w:val="000000"/>
          <w:sz w:val="28"/>
          <w:szCs w:val="28"/>
        </w:rPr>
        <w:t>, по форме согласно Приложению №1 к настоящему Порядку;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2) заверенная руководителем СМСП копия устава организации (для организаций);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3) документы, подтверждающие статус руководителя организации, полномочия лица, представляющего интересы организации в администрации (для организаций);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4) копия документа, подтверждающего регистрацию СМСП в качестве юридического лица, заверенная руководителем организации (для организации, являющейся юридическим лицом);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5) документы, выданные органами Федеральной налоговой службы, подтверждающие отсутствие задолженности по уплате налогов, сборов, пеней и налоговых санкций, подлежащих уплате в соответствии с нормами законодательства Российской Федерации (для некоммерческой организации, являющейся юридическим лицом);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6) документы, подтверждающие наличие расчетного счета у СМСП, на который подлежит перечисление Субсидии;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7) информация об основных мероприятиях СМСП за последний год, в том числе реализованных за счет собственных средств;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8) документы, подтверждающие фактически произведенные затраты (недополученные доходы), а также при необходимости о требованиях к таким документам.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Документы, представленные СМСП, не возвращаются.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Ответственность за полноту и достоверность предоставленных документов несет СМСП.</w:t>
      </w:r>
    </w:p>
    <w:p>
      <w:pPr>
        <w:pStyle w:val="Normal"/>
        <w:ind w:left="0" w:right="0"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 и документы, указанные в пункте 2.3.1. главы 3. раздела 2. Порядка, предоставляются в администрацию СМСП в прошитом виде до 16 часов местного времени 15 ноября 2021 года.</w:t>
      </w:r>
    </w:p>
    <w:p>
      <w:pPr>
        <w:pStyle w:val="Normal"/>
        <w:ind w:left="0" w:right="0"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Поступившие заявки регистрируются в Системе электронного документооборота.</w:t>
      </w:r>
    </w:p>
    <w:p>
      <w:pPr>
        <w:pStyle w:val="Normal"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Заявки, поступившие после </w:t>
      </w:r>
      <w:r>
        <w:rPr>
          <w:rFonts w:eastAsia="NSimSun" w:cs="Mangal"/>
          <w:color w:val="000000"/>
          <w:kern w:val="2"/>
          <w:sz w:val="28"/>
          <w:szCs w:val="28"/>
          <w:lang w:val="ru-RU" w:eastAsia="zh-CN" w:bidi="hi-IN"/>
        </w:rPr>
        <w:t>15 но</w:t>
      </w:r>
      <w:r>
        <w:rPr>
          <w:color w:val="000000"/>
          <w:sz w:val="28"/>
          <w:szCs w:val="28"/>
        </w:rPr>
        <w:t>ября 2021 года, не регистрируются и не рассматриваются.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Участник отбора вправе подать только одну заявку (предложение).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Консультации по вопросам подготовки заявок на участие в отборе можно получить по телефону: 8 (34375) 2 45 55.</w:t>
      </w:r>
    </w:p>
    <w:p>
      <w:pPr>
        <w:pStyle w:val="Normal"/>
        <w:ind w:left="0" w:right="0"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отклонения предложения (заявки) участника на стадии рассмотрения и оценки предложений (заявок) в частности является одна из выявленных причин:</w:t>
      </w:r>
    </w:p>
    <w:p>
      <w:pPr>
        <w:pStyle w:val="Normal"/>
        <w:ind w:left="0" w:right="0" w:firstLine="851"/>
        <w:jc w:val="both"/>
        <w:rPr/>
      </w:pPr>
      <w:r>
        <w:rPr>
          <w:rFonts w:cs="Liberation Serif"/>
          <w:bCs/>
          <w:color w:val="000000"/>
          <w:sz w:val="28"/>
          <w:szCs w:val="28"/>
        </w:rPr>
        <w:t xml:space="preserve">- </w:t>
      </w:r>
      <w:r>
        <w:rPr>
          <w:rFonts w:cs="Liberation Serif"/>
          <w:color w:val="000000"/>
          <w:sz w:val="28"/>
          <w:szCs w:val="28"/>
        </w:rPr>
        <w:t xml:space="preserve">несоответствие участника отбора требованиям, установленным в </w:t>
      </w:r>
      <w:hyperlink w:anchor="P85" w:tgtFrame="_top">
        <w:r>
          <w:rPr>
            <w:rStyle w:val="Style"/>
            <w:rFonts w:cs="Liberation Serif"/>
            <w:color w:val="000000"/>
            <w:sz w:val="28"/>
            <w:szCs w:val="28"/>
          </w:rPr>
          <w:t>пункте 1.5;</w:t>
        </w:r>
      </w:hyperlink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>
      <w:pPr>
        <w:pStyle w:val="Normal"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 xml:space="preserve">- недостоверность представленной участником отбора информации, в том числе информации о месте нахождения и адресе </w:t>
      </w:r>
      <w:r>
        <w:rPr>
          <w:rFonts w:eastAsia="NSimSun" w:cs="Times New Roman"/>
          <w:color w:val="000000"/>
          <w:sz w:val="28"/>
          <w:szCs w:val="28"/>
          <w:lang w:bidi="hi-IN"/>
        </w:rPr>
        <w:t>СМСП</w:t>
      </w:r>
      <w:r>
        <w:rPr>
          <w:rFonts w:cs="Liberation Serif"/>
          <w:color w:val="000000"/>
          <w:sz w:val="28"/>
          <w:szCs w:val="28"/>
        </w:rPr>
        <w:t>;</w:t>
      </w:r>
    </w:p>
    <w:p>
      <w:pPr>
        <w:pStyle w:val="Normal"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 xml:space="preserve">- подача участником отбора заявки после 16.00 часов </w:t>
      </w:r>
      <w:r>
        <w:rPr>
          <w:rFonts w:eastAsia="NSimSun" w:cs="Liberation Serif"/>
          <w:color w:val="000000"/>
          <w:kern w:val="2"/>
          <w:sz w:val="28"/>
          <w:szCs w:val="28"/>
          <w:lang w:val="ru-RU" w:eastAsia="zh-CN" w:bidi="hi-IN"/>
        </w:rPr>
        <w:t>15 но</w:t>
      </w:r>
      <w:r>
        <w:rPr>
          <w:rFonts w:cs="Liberation Serif"/>
          <w:color w:val="000000"/>
          <w:sz w:val="28"/>
          <w:szCs w:val="28"/>
        </w:rPr>
        <w:t>ября 2021 года.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По окончании срока приема заявок председатель Комиссии назначает дату, время и место проведения отбора организаций и заседания Комиссии.</w:t>
      </w:r>
    </w:p>
    <w:p>
      <w:pPr>
        <w:pStyle w:val="Normal"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 xml:space="preserve">1.2. В целях </w:t>
      </w:r>
      <w:r>
        <w:rPr>
          <w:rFonts w:cs="Times New Roman"/>
          <w:bCs/>
          <w:color w:val="000000"/>
          <w:sz w:val="28"/>
          <w:szCs w:val="28"/>
        </w:rPr>
        <w:t>содействия развитию малого и среднего предпринимательства на территории Камышловского городского округа и повышения их конкурентоспособности, обеспечение занятости и самозанятости населения Камышловского городского округа, указанных подпрограммой «Развитие малого и среднего предпринимательства на территории Камышловского городского округа» муниципальной программы «Развитие социально-экономического комплекса Камышловского городского округа на 2021-2027 годы», утвержденной постановлением главы Камышловского городского округа от 09.11.2018 № 965 (с изменениями)</w:t>
      </w:r>
      <w:r>
        <w:rPr>
          <w:rFonts w:cs="Times New Roman"/>
          <w:bCs/>
          <w:color w:val="000000"/>
          <w:sz w:val="28"/>
          <w:szCs w:val="28"/>
          <w:lang w:eastAsia="en-US"/>
        </w:rPr>
        <w:t>, с</w:t>
      </w:r>
      <w:r>
        <w:rPr>
          <w:rFonts w:cs="Times New Roman"/>
          <w:bCs/>
          <w:color w:val="000000"/>
          <w:sz w:val="28"/>
          <w:szCs w:val="28"/>
        </w:rPr>
        <w:t>убсидии предоставляются на возмещение следующих произведенных затрат:</w:t>
      </w:r>
    </w:p>
    <w:p>
      <w:pPr>
        <w:pStyle w:val="Normal"/>
        <w:ind w:left="0" w:right="0" w:firstLine="85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расходы на строительство объектов для осуществления предпринимательской деятельности;</w:t>
      </w:r>
    </w:p>
    <w:p>
      <w:pPr>
        <w:pStyle w:val="Normal"/>
        <w:ind w:left="0" w:right="0" w:firstLine="85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расходы на приобретение оборудования, сырья и материалов;</w:t>
      </w:r>
    </w:p>
    <w:p>
      <w:pPr>
        <w:pStyle w:val="Normal"/>
        <w:ind w:left="0" w:right="0" w:firstLine="85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расходы на капитальный ремонт помещений;</w:t>
      </w:r>
    </w:p>
    <w:p>
      <w:pPr>
        <w:pStyle w:val="Normal"/>
        <w:ind w:left="0" w:right="0" w:firstLine="85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расходы по арендной плате и оплате коммунальных услуг;</w:t>
      </w:r>
    </w:p>
    <w:p>
      <w:pPr>
        <w:pStyle w:val="Normal"/>
        <w:ind w:left="0" w:right="0" w:firstLine="85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расходы на технологическое присоединение к инженерной инфраструктуре (электрические сети, газоснабжение, водоснабжение, водоотведение и т.п.);</w:t>
      </w:r>
    </w:p>
    <w:p>
      <w:pPr>
        <w:pStyle w:val="Normal"/>
        <w:ind w:left="0" w:right="0" w:firstLine="851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- расходы на приобретение программного продукта для ведения дела.</w:t>
      </w:r>
    </w:p>
    <w:p>
      <w:pPr>
        <w:pStyle w:val="34"/>
        <w:widowControl w:val="false"/>
        <w:shd w:fill="FFFFFF" w:val="clear"/>
        <w:suppressAutoHyphens w:val="true"/>
        <w:overflowPunct w:val="true"/>
        <w:bidi w:val="0"/>
        <w:spacing w:lineRule="exact" w:line="320" w:before="0" w:after="0"/>
        <w:ind w:left="0" w:right="0" w:firstLine="85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Cs/>
          <w:color w:val="000000"/>
          <w:sz w:val="28"/>
          <w:szCs w:val="28"/>
        </w:rPr>
        <w:t xml:space="preserve">1.3. 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Право на получение субсидий из местного бюджета имеют СМСП, осуществляющие на территории Камышловского городского округа следующие виды деятельности </w:t>
      </w:r>
      <w:r>
        <w:rPr>
          <w:rFonts w:cs="Times New Roman" w:ascii="Liberation Serif" w:hAnsi="Liberation Serif"/>
          <w:bCs/>
          <w:color w:val="000000"/>
          <w:sz w:val="28"/>
          <w:szCs w:val="28"/>
        </w:rPr>
        <w:t>(указан в выписке из ЕГРН, ЕГРИП)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, </w:t>
      </w:r>
      <w:r>
        <w:rPr>
          <w:rFonts w:cs="Times New Roman" w:ascii="Liberation Serif" w:hAnsi="Liberation Serif"/>
          <w:bCs/>
          <w:color w:val="000000"/>
          <w:sz w:val="28"/>
          <w:szCs w:val="28"/>
        </w:rPr>
        <w:t>определенные в Стратегии социально-экономического развития Камышловского городского округа, утвержденной решением Думы Камышловского городского округа от 20.12.2018 № 333 как приоритетные:</w:t>
      </w:r>
    </w:p>
    <w:p>
      <w:pPr>
        <w:pStyle w:val="34"/>
        <w:widowControl w:val="false"/>
        <w:shd w:fill="FFFFFF" w:val="clear"/>
        <w:suppressAutoHyphens w:val="true"/>
        <w:overflowPunct w:val="true"/>
        <w:bidi w:val="0"/>
        <w:spacing w:lineRule="exact" w:line="320" w:before="0" w:after="0"/>
        <w:ind w:left="0" w:right="-113" w:firstLine="850"/>
        <w:jc w:val="both"/>
        <w:textAlignment w:val="auto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строительство зданий для промышленного производства;</w:t>
      </w:r>
    </w:p>
    <w:p>
      <w:pPr>
        <w:pStyle w:val="34"/>
        <w:widowControl w:val="false"/>
        <w:shd w:fill="FFFFFF" w:val="clear"/>
        <w:suppressAutoHyphens w:val="true"/>
        <w:overflowPunct w:val="true"/>
        <w:bidi w:val="0"/>
        <w:spacing w:lineRule="exact" w:line="320" w:before="0" w:after="0"/>
        <w:ind w:left="0" w:right="-113" w:firstLine="850"/>
        <w:jc w:val="both"/>
        <w:textAlignment w:val="auto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деятельность по предоставлению мест для временного проживания;</w:t>
      </w:r>
    </w:p>
    <w:p>
      <w:pPr>
        <w:pStyle w:val="34"/>
        <w:widowControl w:val="false"/>
        <w:shd w:fill="FFFFFF" w:val="clear"/>
        <w:suppressAutoHyphens w:val="true"/>
        <w:overflowPunct w:val="true"/>
        <w:bidi w:val="0"/>
        <w:spacing w:lineRule="exact" w:line="320" w:before="0" w:after="0"/>
        <w:ind w:left="0" w:right="-113" w:firstLine="850"/>
        <w:jc w:val="both"/>
        <w:textAlignment w:val="auto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производство и услуги обрабатывающей промышленности;</w:t>
      </w:r>
    </w:p>
    <w:p>
      <w:pPr>
        <w:pStyle w:val="34"/>
        <w:widowControl w:val="false"/>
        <w:shd w:fill="FFFFFF" w:val="clear"/>
        <w:suppressAutoHyphens w:val="true"/>
        <w:overflowPunct w:val="true"/>
        <w:bidi w:val="0"/>
        <w:spacing w:lineRule="exact" w:line="320" w:before="0" w:after="0"/>
        <w:ind w:left="0" w:right="-113" w:firstLine="850"/>
        <w:jc w:val="both"/>
        <w:textAlignment w:val="auto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оказание бытовых услуг населению;</w:t>
      </w:r>
    </w:p>
    <w:p>
      <w:pPr>
        <w:pStyle w:val="34"/>
        <w:widowControl w:val="false"/>
        <w:shd w:fill="FFFFFF" w:val="clear"/>
        <w:suppressAutoHyphens w:val="true"/>
        <w:overflowPunct w:val="true"/>
        <w:bidi w:val="0"/>
        <w:spacing w:lineRule="exact" w:line="320" w:before="0" w:after="0"/>
        <w:ind w:left="0" w:right="-113" w:firstLine="850"/>
        <w:jc w:val="both"/>
        <w:textAlignment w:val="auto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развитие сферы общественного питания;</w:t>
      </w:r>
    </w:p>
    <w:p>
      <w:pPr>
        <w:pStyle w:val="34"/>
        <w:widowControl w:val="false"/>
        <w:shd w:fill="FFFFFF" w:val="clear"/>
        <w:suppressAutoHyphens w:val="true"/>
        <w:overflowPunct w:val="true"/>
        <w:bidi w:val="0"/>
        <w:spacing w:lineRule="exact" w:line="320" w:before="0" w:after="0"/>
        <w:ind w:left="0" w:right="-113" w:firstLine="850"/>
        <w:jc w:val="both"/>
        <w:textAlignment w:val="auto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cs="Times New Roman" w:ascii="Liberation Serif" w:hAnsi="Liberation Serif"/>
          <w:bCs/>
          <w:color w:val="000000"/>
          <w:sz w:val="28"/>
          <w:szCs w:val="28"/>
        </w:rPr>
        <w:t>- развитие туристского потенциала (развлекательные или спортивно-оздоровительные комплексы).</w:t>
      </w:r>
    </w:p>
    <w:p>
      <w:pPr>
        <w:pStyle w:val="34"/>
        <w:widowControl w:val="false"/>
        <w:shd w:fill="FFFFFF" w:val="clear"/>
        <w:suppressAutoHyphens w:val="true"/>
        <w:overflowPunct w:val="true"/>
        <w:bidi w:val="0"/>
        <w:spacing w:lineRule="exact" w:line="320" w:before="0" w:after="0"/>
        <w:ind w:left="0" w:right="0" w:firstLine="85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Cs/>
          <w:color w:val="000000"/>
          <w:sz w:val="28"/>
          <w:szCs w:val="28"/>
        </w:rPr>
        <w:t xml:space="preserve">1.4. 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Предоставление субсидий на цели, предусмотренные пунктом 1.6. раздела 1 Порядка, осуществляется по итогам отбора СМСП исходя из соответствия участника отбора критериям отбора и очередности поступления предложений (заявок) на участие в отборе, осуществляемого комиссией по отбору субъектов малого и среднего предпринимательства, подавших заявку на получение финансовой поддержки из местного бюджета.</w:t>
      </w:r>
    </w:p>
    <w:p>
      <w:pPr>
        <w:pStyle w:val="34"/>
        <w:widowControl w:val="false"/>
        <w:shd w:fill="FFFFFF" w:val="clear"/>
        <w:suppressAutoHyphens w:val="true"/>
        <w:overflowPunct w:val="true"/>
        <w:bidi w:val="0"/>
        <w:spacing w:lineRule="exact" w:line="320" w:before="0" w:after="0"/>
        <w:ind w:left="0" w:right="0" w:firstLine="85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Показателем результативности использования субсидий, соответствующих целям, предусмотренным пунктом 1.6. раздела 1 Порядка, является </w:t>
      </w:r>
      <w:r>
        <w:rPr>
          <w:rFonts w:ascii="Liberation Serif" w:hAnsi="Liberation Serif"/>
          <w:color w:val="000000"/>
          <w:sz w:val="28"/>
          <w:szCs w:val="28"/>
        </w:rPr>
        <w:t>количество вновь созданных рабочих мест до 31 декабря 2021 года (единиц).</w:t>
      </w:r>
    </w:p>
    <w:p>
      <w:pPr>
        <w:pStyle w:val="34"/>
        <w:widowControl w:val="false"/>
        <w:shd w:fill="FFFFFF" w:val="clear"/>
        <w:suppressAutoHyphens w:val="true"/>
        <w:overflowPunct w:val="true"/>
        <w:bidi w:val="0"/>
        <w:spacing w:lineRule="exact" w:line="320" w:before="0" w:after="0"/>
        <w:ind w:left="0" w:right="0" w:firstLine="850"/>
        <w:jc w:val="both"/>
        <w:textAlignment w:val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Получатели субсидии должны достигнуть не менее 100% предельных значений показателей результативности.</w:t>
      </w:r>
    </w:p>
    <w:p>
      <w:pPr>
        <w:pStyle w:val="34"/>
        <w:widowControl w:val="false"/>
        <w:shd w:fill="FFFFFF" w:val="clear"/>
        <w:suppressAutoHyphens w:val="true"/>
        <w:overflowPunct w:val="true"/>
        <w:bidi w:val="0"/>
        <w:spacing w:lineRule="exact" w:line="320" w:before="0" w:after="0"/>
        <w:ind w:left="0" w:right="0" w:firstLine="850"/>
        <w:jc w:val="both"/>
        <w:textAlignment w:val="auto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>В Соглашении о предоставлении субсидии Администрация имеет право устанавливать конкретные значения показателей результативности на основании Порядка.</w:t>
      </w:r>
    </w:p>
    <w:p>
      <w:pPr>
        <w:pStyle w:val="34"/>
        <w:widowControl w:val="false"/>
        <w:shd w:fill="FFFFFF" w:val="clear"/>
        <w:suppressAutoHyphens w:val="true"/>
        <w:overflowPunct w:val="true"/>
        <w:bidi w:val="0"/>
        <w:spacing w:lineRule="exact" w:line="320" w:before="0" w:after="0"/>
        <w:ind w:left="0" w:right="0" w:firstLine="850"/>
        <w:jc w:val="both"/>
        <w:textAlignment w:val="auto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>1.5. СМСП для участия в отборе должен соответствовать требованиям на первое октября 2021 года.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Право на получение субсидий из местного бюджета имеют СМСП: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1) осуществляющие деятельность в сферах, указанных в пункте 1.5.  Порядка;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bookmarkStart w:id="2" w:name="_Hlk49541149011"/>
      <w:bookmarkEnd w:id="2"/>
      <w:r>
        <w:rPr>
          <w:rFonts w:cs="Liberation Serif"/>
          <w:bCs/>
          <w:color w:val="000000"/>
          <w:sz w:val="28"/>
          <w:szCs w:val="28"/>
        </w:rPr>
        <w:t>2) не являющиеся государственными компаниями, государственными и муниципальными учреждениями, религиозными организациями, политическими партиями, их объединениями и союзами, профессиональными союзами, их объединениями (ассоциациями);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3) осуществляющие свою деятельность на территории Камышловского городского округа не менее 1 года до даты предоставления заявки;</w:t>
      </w:r>
    </w:p>
    <w:p>
      <w:pPr>
        <w:pStyle w:val="Normal"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 xml:space="preserve">4) </w:t>
      </w:r>
      <w:bookmarkStart w:id="3" w:name="_Hlk5174252071"/>
      <w:r>
        <w:rPr>
          <w:rFonts w:cs="Liberation Serif"/>
          <w:bCs/>
          <w:color w:val="000000"/>
          <w:sz w:val="28"/>
          <w:szCs w:val="28"/>
        </w:rPr>
        <w:t xml:space="preserve">на первое октября 2021года не имеющие </w:t>
      </w:r>
      <w:bookmarkEnd w:id="3"/>
      <w:r>
        <w:rPr>
          <w:rFonts w:cs="Liberation Serif"/>
          <w:bCs/>
          <w:color w:val="000000"/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5) не имеющие просроченной задолженности по возврату в бюджет Камышловского городского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бюджетом;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6) юридические лица - не находящиеся в процессе реорганизации, ликвидации, в отношении них отсутствует введенная процедура банкротства, а также деятельность участника не приостановлена в порядке, предусмотренном законодательством Российской Федерации, индивидуальные предприниматели – не прекратившие деятельность в качестве индивидуального предпринимательства;</w:t>
      </w:r>
    </w:p>
    <w:p>
      <w:pPr>
        <w:pStyle w:val="34"/>
        <w:shd w:fill="FFFFFF" w:val="clear"/>
        <w:spacing w:lineRule="exact" w:line="320" w:before="0" w:after="0"/>
        <w:ind w:left="0" w:right="2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7)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>
      <w:pPr>
        <w:pStyle w:val="34"/>
        <w:shd w:fill="FFFFFF" w:val="clear"/>
        <w:tabs>
          <w:tab w:val="clear" w:pos="709"/>
          <w:tab w:val="left" w:pos="1194" w:leader="none"/>
        </w:tabs>
        <w:spacing w:lineRule="exact" w:line="320" w:before="0" w:after="0"/>
        <w:ind w:left="0" w:right="2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8)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34"/>
        <w:shd w:fill="FFFFFF" w:val="clear"/>
        <w:tabs>
          <w:tab w:val="clear" w:pos="709"/>
          <w:tab w:val="left" w:pos="1194" w:leader="none"/>
        </w:tabs>
        <w:spacing w:lineRule="exact" w:line="320" w:before="0" w:after="0"/>
        <w:ind w:left="0" w:right="2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9) участники отбора не должны получать средства из бюджета Камышловского городского округа, на цели, установленные настоящим порядком.</w:t>
      </w:r>
    </w:p>
    <w:p>
      <w:pPr>
        <w:pStyle w:val="34"/>
        <w:shd w:fill="FFFFFF" w:val="clear"/>
        <w:tabs>
          <w:tab w:val="clear" w:pos="709"/>
          <w:tab w:val="left" w:pos="1194" w:leader="none"/>
        </w:tabs>
        <w:spacing w:lineRule="exact" w:line="320" w:before="0" w:after="0"/>
        <w:ind w:left="0" w:right="2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1.6. Обязательным условием предоставления субсидии является согласие получателя субсидии и лиц, являющихся поставщиками (подрядчиками, исполнителями) по договорам (соглашениям), заключённым в целях исполнения обязательств по договорам (соглашениям) о предоставлении субсидий:</w:t>
      </w:r>
    </w:p>
    <w:p>
      <w:pPr>
        <w:pStyle w:val="34"/>
        <w:shd w:fill="FFFFFF" w:val="clear"/>
        <w:tabs>
          <w:tab w:val="clear" w:pos="709"/>
          <w:tab w:val="left" w:pos="1194" w:leader="none"/>
        </w:tabs>
        <w:spacing w:lineRule="exact" w:line="320" w:before="0" w:after="0"/>
        <w:ind w:left="0" w:right="2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-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>
      <w:pPr>
        <w:pStyle w:val="34"/>
        <w:shd w:fill="FFFFFF" w:val="clear"/>
        <w:tabs>
          <w:tab w:val="clear" w:pos="709"/>
          <w:tab w:val="left" w:pos="1194" w:leader="none"/>
        </w:tabs>
        <w:spacing w:lineRule="exact" w:line="320" w:before="0" w:after="0"/>
        <w:ind w:left="0" w:right="2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-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субсидии.</w:t>
      </w:r>
    </w:p>
    <w:p>
      <w:pPr>
        <w:pStyle w:val="34"/>
        <w:shd w:fill="FFFFFF" w:val="clear"/>
        <w:tabs>
          <w:tab w:val="clear" w:pos="709"/>
          <w:tab w:val="left" w:pos="1194" w:leader="none"/>
        </w:tabs>
        <w:spacing w:lineRule="exact" w:line="320" w:before="0" w:after="0"/>
        <w:ind w:left="0" w:right="20" w:firstLine="851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cs="Times New Roman" w:ascii="Liberation Serif" w:hAnsi="Liberation Serif"/>
          <w:bCs/>
          <w:color w:val="000000"/>
          <w:sz w:val="28"/>
          <w:szCs w:val="28"/>
        </w:rPr>
        <w:t>1.7. Максимальный размер субсидии для одного субъекта малого или среднего предпринимательства составляет 85% произведенных расходов в пределах утвержденных лимитов бюджетных обязательств на указанные цели.</w:t>
      </w:r>
    </w:p>
    <w:p>
      <w:pPr>
        <w:pStyle w:val="34"/>
        <w:shd w:fill="FFFFFF" w:val="clear"/>
        <w:tabs>
          <w:tab w:val="clear" w:pos="709"/>
          <w:tab w:val="left" w:pos="1194" w:leader="none"/>
        </w:tabs>
        <w:spacing w:lineRule="exact" w:line="320" w:before="0" w:after="0"/>
        <w:ind w:left="0" w:right="20" w:firstLine="851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cs="Times New Roman" w:ascii="Liberation Serif" w:hAnsi="Liberation Serif"/>
          <w:bCs/>
          <w:color w:val="000000"/>
          <w:sz w:val="28"/>
          <w:szCs w:val="28"/>
        </w:rPr>
        <w:t>В качестве компенсации части затрат могут быть приняты расходы, произведенные до подачи заявки на получение субсидии, но не ранее двух предшествующих лет, с даты подачи заявки на предоставление субсидии.</w:t>
      </w:r>
    </w:p>
    <w:p>
      <w:pPr>
        <w:pStyle w:val="34"/>
        <w:shd w:fill="FFFFFF" w:val="clear"/>
        <w:tabs>
          <w:tab w:val="clear" w:pos="709"/>
          <w:tab w:val="left" w:pos="1194" w:leader="none"/>
        </w:tabs>
        <w:spacing w:lineRule="exact" w:line="320" w:before="0" w:after="0"/>
        <w:ind w:left="0" w:right="2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Разъяснения порядка подготовки заявок на участие в конкурсе на предоставление из бюджета Камышловского городского округа субсидий на </w:t>
      </w:r>
      <w:r>
        <w:rPr>
          <w:rFonts w:cs="Times New Roman" w:ascii="Liberation Serif" w:hAnsi="Liberation Serif"/>
          <w:bCs/>
          <w:color w:val="000000"/>
          <w:sz w:val="28"/>
          <w:szCs w:val="28"/>
        </w:rPr>
        <w:t xml:space="preserve">компенсацию части затрат по развитию бизнеса субъекты малого и среднего предпринимательства могут получить в отделе экономики администрации Камышловского городского округа по адресу: 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624860, Свердловская область, г.Камышлов, ул.Свердлова, д.41, каб.2, а также устные консультации по вопросам подготовки документов на участие в отборе по телефону 8 (34375) 2-45-55 с 8.00 до 12.00 часов и 13.00 до 16.00 часов в рабочие дни.</w:t>
      </w:r>
    </w:p>
    <w:p>
      <w:pPr>
        <w:pStyle w:val="34"/>
        <w:shd w:fill="FFFFFF" w:val="clear"/>
        <w:tabs>
          <w:tab w:val="clear" w:pos="709"/>
          <w:tab w:val="left" w:pos="1194" w:leader="none"/>
        </w:tabs>
        <w:spacing w:lineRule="exact" w:line="320" w:before="0" w:after="0"/>
        <w:ind w:left="0" w:right="20"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 Отделу экономики администрации Камышловского городского округа (Н.В.Акимова) информировать субъекты малого и среднего предпринимательства об условиях и Порядке предоставления субсидий путем размещения объявления на официальном сайте Камышловского городского округа и в газете «Камышловские известия» в течении 14 дней с даты утверждения данного постановления.</w:t>
      </w:r>
    </w:p>
    <w:p>
      <w:pPr>
        <w:pStyle w:val="34"/>
        <w:shd w:fill="FFFFFF" w:val="clear"/>
        <w:tabs>
          <w:tab w:val="clear" w:pos="709"/>
          <w:tab w:val="left" w:pos="1194" w:leader="none"/>
        </w:tabs>
        <w:spacing w:lineRule="exact" w:line="320" w:before="0" w:after="0"/>
        <w:ind w:left="0" w:right="20"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 Настоящее постановление разместить на официальном сайте Камышловского городского округа и опубликовать в газете «Камышловские известия».</w:t>
      </w:r>
    </w:p>
    <w:p>
      <w:pPr>
        <w:pStyle w:val="34"/>
        <w:shd w:fill="FFFFFF" w:val="clear"/>
        <w:tabs>
          <w:tab w:val="clear" w:pos="709"/>
          <w:tab w:val="left" w:pos="1194" w:leader="none"/>
        </w:tabs>
        <w:spacing w:lineRule="exact" w:line="320" w:before="0" w:after="0"/>
        <w:ind w:left="0" w:right="20"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4. Контроль за выполнением настоящего распоряжения возложить на заместителя главы администрации Камышловского городского округа Власову Е.Н.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Глава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Камышловского городского округа                                                 А.В. Половников</w:t>
      </w:r>
    </w:p>
    <w:sectPr>
      <w:headerReference w:type="default" r:id="rId4"/>
      <w:type w:val="nextPage"/>
      <w:pgSz w:w="11906" w:h="16838"/>
      <w:pgMar w:left="1701" w:right="567" w:header="1134" w:top="1276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nstantia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Calibri">
    <w:charset w:val="cc"/>
    <w:family w:val="roman"/>
    <w:pitch w:val="default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6</w:t>
    </w:r>
    <w:r>
      <w:rPr>
        <w:sz w:val="28"/>
        <w:szCs w:val="28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/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Cs w:val="20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  <w:b w:val="false"/>
      <w:bCs w:val="false"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2">
    <w:name w:val="Интернет-ссылка"/>
    <w:rPr>
      <w:color w:val="0000FF"/>
      <w:u w:val="single"/>
    </w:rPr>
  </w:style>
  <w:style w:type="character" w:styleId="Style13">
    <w:name w:val="Основной текст Знак"/>
    <w:qFormat/>
    <w:rPr>
      <w:b/>
      <w:sz w:val="24"/>
      <w:lang w:val="ru-RU" w:bidi="ar-SA"/>
    </w:rPr>
  </w:style>
  <w:style w:type="character" w:styleId="Style14">
    <w:name w:val="Основной текст с отступом Знак"/>
    <w:qFormat/>
    <w:rPr>
      <w:sz w:val="28"/>
      <w:lang w:val="ru-RU" w:bidi="ar-SA"/>
    </w:rPr>
  </w:style>
  <w:style w:type="character" w:styleId="Style15">
    <w:name w:val="Текст выноски Знак"/>
    <w:qFormat/>
    <w:rPr>
      <w:rFonts w:ascii="Tahoma" w:hAnsi="Tahoma" w:eastAsia="Tahoma" w:cs="Tahoma"/>
      <w:sz w:val="16"/>
      <w:szCs w:val="16"/>
    </w:rPr>
  </w:style>
  <w:style w:type="character" w:styleId="Style16">
    <w:name w:val="Название Знак"/>
    <w:qFormat/>
    <w:rPr>
      <w:rFonts w:eastAsia="Times New Roman"/>
      <w:b/>
      <w:i/>
      <w:sz w:val="28"/>
    </w:rPr>
  </w:style>
  <w:style w:type="character" w:styleId="611pt">
    <w:name w:val="Основной текст (6) + 11 pt"/>
    <w:qFormat/>
    <w:rPr>
      <w:rFonts w:ascii="Times New Roman" w:hAnsi="Times New Roman" w:eastAsia="Times New Roman" w:cs="Times New Roman"/>
      <w:sz w:val="22"/>
      <w:szCs w:val="22"/>
      <w:highlight w:val="white"/>
    </w:rPr>
  </w:style>
  <w:style w:type="character" w:styleId="21">
    <w:name w:val="Основной текст (2)_"/>
    <w:basedOn w:val="DefaultParagraphFont"/>
    <w:qFormat/>
    <w:rPr>
      <w:rFonts w:ascii="Times New Roman" w:hAnsi="Times New Roman" w:cs="Times New Roman"/>
      <w:sz w:val="28"/>
      <w:szCs w:val="28"/>
      <w:highlight w:val="white"/>
    </w:rPr>
  </w:style>
  <w:style w:type="character" w:styleId="3">
    <w:name w:val="Основной текст (3)_"/>
    <w:basedOn w:val="DefaultParagraphFont"/>
    <w:qFormat/>
    <w:rPr>
      <w:rFonts w:ascii="Times New Roman" w:hAnsi="Times New Roman"/>
      <w:b/>
      <w:bCs/>
      <w:sz w:val="28"/>
      <w:szCs w:val="28"/>
      <w:highlight w:val="white"/>
    </w:rPr>
  </w:style>
  <w:style w:type="character" w:styleId="4">
    <w:name w:val="Заголовок №4_"/>
    <w:basedOn w:val="DefaultParagraphFont"/>
    <w:qFormat/>
    <w:rPr>
      <w:rFonts w:ascii="Times New Roman" w:hAnsi="Times New Roman"/>
      <w:b/>
      <w:bCs/>
      <w:sz w:val="28"/>
      <w:szCs w:val="28"/>
      <w:highlight w:val="white"/>
    </w:rPr>
  </w:style>
  <w:style w:type="character" w:styleId="5">
    <w:name w:val="Основной текст (5)_"/>
    <w:basedOn w:val="DefaultParagraphFont"/>
    <w:qFormat/>
    <w:rPr>
      <w:rFonts w:ascii="Times New Roman" w:hAnsi="Times New Roman"/>
      <w:b/>
      <w:bCs/>
      <w:sz w:val="19"/>
      <w:szCs w:val="19"/>
      <w:highlight w:val="white"/>
    </w:rPr>
  </w:style>
  <w:style w:type="character" w:styleId="7">
    <w:name w:val="Основной текст (7)_"/>
    <w:basedOn w:val="DefaultParagraphFont"/>
    <w:qFormat/>
    <w:rPr>
      <w:rFonts w:ascii="Constantia" w:hAnsi="Constantia" w:cs="Constantia"/>
      <w:sz w:val="30"/>
      <w:szCs w:val="30"/>
      <w:highlight w:val="white"/>
    </w:rPr>
  </w:style>
  <w:style w:type="character" w:styleId="31">
    <w:name w:val="Заголовок №3_"/>
    <w:basedOn w:val="DefaultParagraphFont"/>
    <w:qFormat/>
    <w:rPr>
      <w:rFonts w:ascii="Arial" w:hAnsi="Arial" w:cs="Arial"/>
      <w:b/>
      <w:bCs/>
      <w:highlight w:val="white"/>
    </w:rPr>
  </w:style>
  <w:style w:type="character" w:styleId="7TimesNewRoman">
    <w:name w:val="Основной текст (7) + Times New Roman"/>
    <w:basedOn w:val="7"/>
    <w:qFormat/>
    <w:rPr>
      <w:rFonts w:ascii="Times New Roman" w:hAnsi="Times New Roman" w:cs="Times New Roman"/>
      <w:sz w:val="28"/>
      <w:szCs w:val="28"/>
      <w:highlight w:val="white"/>
    </w:rPr>
  </w:style>
  <w:style w:type="character" w:styleId="3TimesNewRoman">
    <w:name w:val="Заголовок №3 + Times New Roman"/>
    <w:basedOn w:val="31"/>
    <w:qFormat/>
    <w:rPr>
      <w:rFonts w:ascii="Times New Roman" w:hAnsi="Times New Roman" w:cs="Times New Roman"/>
      <w:b/>
      <w:bCs/>
      <w:sz w:val="28"/>
      <w:szCs w:val="28"/>
      <w:highlight w:val="white"/>
    </w:rPr>
  </w:style>
  <w:style w:type="character" w:styleId="32">
    <w:name w:val="Заголовок №3"/>
    <w:basedOn w:val="31"/>
    <w:qFormat/>
    <w:rPr>
      <w:rFonts w:ascii="Arial" w:hAnsi="Arial" w:cs="Arial"/>
      <w:b/>
      <w:bCs/>
      <w:highlight w:val="white"/>
      <w:u w:val="single"/>
    </w:rPr>
  </w:style>
  <w:style w:type="character" w:styleId="22">
    <w:name w:val="Основной текст (2)"/>
    <w:basedOn w:val="21"/>
    <w:qFormat/>
    <w:rPr>
      <w:rFonts w:ascii="Times New Roman" w:hAnsi="Times New Roman" w:cs="Times New Roman"/>
      <w:sz w:val="28"/>
      <w:szCs w:val="28"/>
      <w:highlight w:val="white"/>
      <w:u w:val="none"/>
    </w:rPr>
  </w:style>
  <w:style w:type="character" w:styleId="Style17">
    <w:name w:val="Подпись к таблице_"/>
    <w:basedOn w:val="DefaultParagraphFont"/>
    <w:qFormat/>
    <w:rPr>
      <w:rFonts w:ascii="Times New Roman" w:hAnsi="Times New Roman"/>
      <w:b/>
      <w:bCs/>
      <w:sz w:val="28"/>
      <w:szCs w:val="28"/>
      <w:highlight w:val="white"/>
    </w:rPr>
  </w:style>
  <w:style w:type="character" w:styleId="29">
    <w:name w:val="Основной текст (2) + 9"/>
    <w:basedOn w:val="21"/>
    <w:qFormat/>
    <w:rPr>
      <w:rFonts w:ascii="Times New Roman" w:hAnsi="Times New Roman" w:cs="Times New Roman"/>
      <w:b/>
      <w:bCs/>
      <w:sz w:val="19"/>
      <w:szCs w:val="19"/>
      <w:highlight w:val="white"/>
      <w:u w:val="none"/>
    </w:rPr>
  </w:style>
  <w:style w:type="character" w:styleId="Style18">
    <w:name w:val="Верхний колонтитул Знак"/>
    <w:basedOn w:val="DefaultParagraphFont"/>
    <w:qFormat/>
    <w:rPr>
      <w:szCs w:val="21"/>
    </w:rPr>
  </w:style>
  <w:style w:type="character" w:styleId="Style19">
    <w:name w:val="Нижний колонтитул Знак"/>
    <w:basedOn w:val="DefaultParagraphFont"/>
    <w:qFormat/>
    <w:rPr>
      <w:szCs w:val="21"/>
    </w:rPr>
  </w:style>
  <w:style w:type="character" w:styleId="ConsPlusNormal">
    <w:name w:val="ConsPlusNormal Знак"/>
    <w:qFormat/>
    <w:rPr>
      <w:rFonts w:ascii="Arial" w:hAnsi="Arial" w:eastAsia="Times New Roman" w:cs="Arial"/>
      <w:sz w:val="20"/>
      <w:szCs w:val="20"/>
      <w:lang w:bidi="ar-SA"/>
    </w:rPr>
  </w:style>
  <w:style w:type="character" w:styleId="11">
    <w:name w:val="Заголовок №1_"/>
    <w:basedOn w:val="DefaultParagraphFont"/>
    <w:qFormat/>
    <w:rPr>
      <w:rFonts w:ascii="Times New Roman" w:hAnsi="Times New Roman" w:eastAsia="Times New Roman" w:cs="Times New Roman"/>
      <w:sz w:val="26"/>
      <w:szCs w:val="26"/>
      <w:highlight w:val="white"/>
    </w:rPr>
  </w:style>
  <w:style w:type="character" w:styleId="Style20">
    <w:name w:val="Основной текст_"/>
    <w:basedOn w:val="DefaultParagraphFont"/>
    <w:qFormat/>
    <w:rPr>
      <w:rFonts w:ascii="Times New Roman" w:hAnsi="Times New Roman" w:eastAsia="Times New Roman" w:cs="Times New Roman"/>
      <w:sz w:val="26"/>
      <w:szCs w:val="26"/>
      <w:highlight w:val="white"/>
    </w:rPr>
  </w:style>
  <w:style w:type="character" w:styleId="Style21">
    <w:name w:val="Основной текст + Курсив"/>
    <w:basedOn w:val="Style20"/>
    <w:qFormat/>
    <w:rPr>
      <w:rFonts w:ascii="Times New Roman" w:hAnsi="Times New Roman" w:eastAsia="Times New Roman" w:cs="Times New Roman"/>
      <w:i/>
      <w:iCs/>
      <w:sz w:val="26"/>
      <w:szCs w:val="26"/>
      <w:highlight w:val="white"/>
    </w:rPr>
  </w:style>
  <w:style w:type="character" w:styleId="Style22">
    <w:name w:val="Колонтитул_"/>
    <w:basedOn w:val="DefaultParagraphFont"/>
    <w:qFormat/>
    <w:rPr>
      <w:rFonts w:ascii="Times New Roman" w:hAnsi="Times New Roman" w:eastAsia="Times New Roman" w:cs="Times New Roman"/>
      <w:sz w:val="20"/>
      <w:szCs w:val="20"/>
      <w:highlight w:val="white"/>
    </w:rPr>
  </w:style>
  <w:style w:type="character" w:styleId="23">
    <w:name w:val="Основной текст (2) + Не курсив"/>
    <w:basedOn w:val="DefaultParagraphFont"/>
    <w:qFormat/>
    <w:rPr>
      <w:rFonts w:ascii="Times New Roman" w:hAnsi="Times New Roman" w:eastAsia="Times New Roman" w:cs="Times New Roman"/>
      <w:b w:val="false"/>
      <w:bCs w:val="false"/>
      <w:i/>
      <w:iCs/>
      <w:strike w:val="false"/>
      <w:dstrike w:val="false"/>
      <w:spacing w:val="0"/>
      <w:sz w:val="26"/>
      <w:szCs w:val="26"/>
    </w:rPr>
  </w:style>
  <w:style w:type="character" w:styleId="6">
    <w:name w:val="Основной текст (6)_"/>
    <w:basedOn w:val="DefaultParagraphFont"/>
    <w:qFormat/>
    <w:rPr>
      <w:rFonts w:ascii="Times New Roman" w:hAnsi="Times New Roman" w:eastAsia="Times New Roman" w:cs="Times New Roman"/>
      <w:sz w:val="17"/>
      <w:szCs w:val="17"/>
      <w:highlight w:val="white"/>
    </w:rPr>
  </w:style>
  <w:style w:type="character" w:styleId="1115pt0pt">
    <w:name w:val="Заголовок №1 + 11;5 pt;Интервал 0 pt"/>
    <w:basedOn w:val="11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2"/>
      <w:w w:val="100"/>
      <w:position w:val="0"/>
      <w:sz w:val="23"/>
      <w:sz w:val="23"/>
      <w:szCs w:val="23"/>
      <w:highlight w:val="white"/>
      <w:u w:val="none"/>
      <w:vertAlign w:val="baseline"/>
      <w:lang w:val="ru-RU"/>
    </w:rPr>
  </w:style>
  <w:style w:type="character" w:styleId="WWCharLFO1LVL1">
    <w:name w:val="WW_CharLFO1LVL1"/>
    <w:qFormat/>
    <w:rPr>
      <w:rFonts w:ascii="Times New Roman" w:hAnsi="Times New Roman" w:cs="Times New Roman"/>
      <w:b w:val="false"/>
      <w:bCs w:val="false"/>
      <w:sz w:val="28"/>
      <w:szCs w:val="28"/>
    </w:rPr>
  </w:style>
  <w:style w:type="character" w:styleId="WWCharLFO1LVL2">
    <w:name w:val="WW_CharLFO1LVL2"/>
    <w:qFormat/>
    <w:rPr>
      <w:rFonts w:ascii="Liberation Serif" w:hAnsi="Liberation Serif"/>
    </w:rPr>
  </w:style>
  <w:style w:type="character" w:styleId="WWCharLFO1LVL3">
    <w:name w:val="WW_CharLFO1LVL3"/>
    <w:qFormat/>
    <w:rPr>
      <w:rFonts w:ascii="Liberation Serif" w:hAnsi="Liberation Serif"/>
    </w:rPr>
  </w:style>
  <w:style w:type="character" w:styleId="WWCharLFO1LVL4">
    <w:name w:val="WW_CharLFO1LVL4"/>
    <w:qFormat/>
    <w:rPr>
      <w:rFonts w:ascii="Liberation Serif" w:hAnsi="Liberation Serif"/>
    </w:rPr>
  </w:style>
  <w:style w:type="character" w:styleId="WWCharLFO1LVL5">
    <w:name w:val="WW_CharLFO1LVL5"/>
    <w:qFormat/>
    <w:rPr>
      <w:rFonts w:ascii="Liberation Serif" w:hAnsi="Liberation Serif"/>
    </w:rPr>
  </w:style>
  <w:style w:type="character" w:styleId="WWCharLFO1LVL6">
    <w:name w:val="WW_CharLFO1LVL6"/>
    <w:qFormat/>
    <w:rPr>
      <w:rFonts w:ascii="Liberation Serif" w:hAnsi="Liberation Serif"/>
    </w:rPr>
  </w:style>
  <w:style w:type="character" w:styleId="WWCharLFO1LVL7">
    <w:name w:val="WW_CharLFO1LVL7"/>
    <w:qFormat/>
    <w:rPr>
      <w:rFonts w:ascii="Liberation Serif" w:hAnsi="Liberation Serif"/>
    </w:rPr>
  </w:style>
  <w:style w:type="character" w:styleId="WWCharLFO1LVL8">
    <w:name w:val="WW_CharLFO1LVL8"/>
    <w:qFormat/>
    <w:rPr>
      <w:rFonts w:ascii="Liberation Serif" w:hAnsi="Liberation Serif"/>
    </w:rPr>
  </w:style>
  <w:style w:type="character" w:styleId="WWCharLFO1LVL9">
    <w:name w:val="WW_CharLFO1LVL9"/>
    <w:qFormat/>
    <w:rPr>
      <w:rFonts w:ascii="Liberation Serif" w:hAnsi="Liberation Serif"/>
    </w:rPr>
  </w:style>
  <w:style w:type="character" w:styleId="WWCharLFO5LVL1">
    <w:name w:val="WW_CharLFO5LVL1"/>
    <w:qFormat/>
    <w:rPr>
      <w:rFonts w:ascii="Liberation Serif" w:hAnsi="Liberation Serif" w:eastAsia="Times New Roman" w:cs="Liberation Serif"/>
      <w:b w:val="false"/>
      <w:bCs w:val="false"/>
      <w:i w:val="false"/>
      <w:iCs w:val="false"/>
      <w:strike w:val="false"/>
      <w:dstrike w:val="false"/>
      <w:color w:val="000000"/>
      <w:spacing w:val="2"/>
      <w:w w:val="100"/>
      <w:position w:val="0"/>
      <w:sz w:val="28"/>
      <w:sz w:val="28"/>
      <w:szCs w:val="28"/>
      <w:u w:val="none"/>
      <w:vertAlign w:val="baseline"/>
      <w:lang w:val="ru-RU"/>
    </w:rPr>
  </w:style>
  <w:style w:type="character" w:styleId="WWCharLFO6LVL1">
    <w:name w:val="WW_CharLFO6LVL1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2"/>
      <w:w w:val="100"/>
      <w:position w:val="0"/>
      <w:sz w:val="23"/>
      <w:sz w:val="23"/>
      <w:szCs w:val="23"/>
      <w:u w:val="none"/>
      <w:vertAlign w:val="baseline"/>
      <w:lang w:val="ru-RU"/>
    </w:rPr>
  </w:style>
  <w:style w:type="character" w:styleId="Style23">
    <w:name w:val="Посещённая гиперссылка"/>
    <w:rPr>
      <w:color w:val="800000"/>
      <w:u w:val="single"/>
      <w:lang w:val="zxx" w:eastAsia="zxx" w:bidi="zxx"/>
    </w:rPr>
  </w:style>
  <w:style w:type="paragraph" w:styleId="Style24">
    <w:name w:val="Заголовок"/>
    <w:basedOn w:val="Normal"/>
    <w:next w:val="Style25"/>
    <w:qFormat/>
    <w:pPr>
      <w:jc w:val="center"/>
    </w:pPr>
    <w:rPr>
      <w:b/>
      <w:i/>
      <w:sz w:val="28"/>
      <w:szCs w:val="20"/>
    </w:rPr>
  </w:style>
  <w:style w:type="paragraph" w:styleId="Style25">
    <w:name w:val="Body Text"/>
    <w:basedOn w:val="Normal"/>
    <w:pPr>
      <w:jc w:val="center"/>
    </w:pPr>
    <w:rPr>
      <w:b/>
      <w:szCs w:val="20"/>
    </w:rPr>
  </w:style>
  <w:style w:type="paragraph" w:styleId="Style26">
    <w:name w:val="List"/>
    <w:basedOn w:val="Style25"/>
    <w:pPr/>
    <w:rPr/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b/>
      <w:bCs/>
      <w:color w:val="auto"/>
      <w:kern w:val="2"/>
      <w:sz w:val="28"/>
      <w:szCs w:val="28"/>
      <w:lang w:val="ru-RU" w:eastAsia="zh-CN" w:bidi="ar-SA"/>
    </w:rPr>
  </w:style>
  <w:style w:type="paragraph" w:styleId="Style29">
    <w:name w:val="Body Text Indent"/>
    <w:basedOn w:val="Normal"/>
    <w:pPr>
      <w:ind w:left="0" w:right="0" w:firstLine="851"/>
      <w:jc w:val="both"/>
    </w:pPr>
    <w:rPr>
      <w:sz w:val="28"/>
      <w:szCs w:val="20"/>
    </w:rPr>
  </w:style>
  <w:style w:type="paragraph" w:styleId="Style30">
    <w:name w:val="Знак"/>
    <w:basedOn w:val="Normal"/>
    <w:qFormat/>
    <w:pPr/>
    <w:rPr>
      <w:rFonts w:ascii="Verdana" w:hAnsi="Verdana" w:eastAsia="Verdana" w:cs="Verdana"/>
      <w:sz w:val="20"/>
      <w:szCs w:val="20"/>
      <w:lang w:val="en-US"/>
    </w:rPr>
  </w:style>
  <w:style w:type="paragraph" w:styleId="12">
    <w:name w:val="Знак1"/>
    <w:basedOn w:val="Normal"/>
    <w:qFormat/>
    <w:pPr>
      <w:spacing w:lineRule="exact" w:line="240" w:before="0" w:after="160"/>
    </w:pPr>
    <w:rPr>
      <w:rFonts w:ascii="Verdana" w:hAnsi="Verdana" w:eastAsia="Verdana" w:cs="Verdana"/>
      <w:sz w:val="20"/>
      <w:szCs w:val="20"/>
      <w:lang w:val="en-US"/>
    </w:rPr>
  </w:style>
  <w:style w:type="paragraph" w:styleId="Style31">
    <w:name w:val="Знак Знак"/>
    <w:basedOn w:val="Normal"/>
    <w:qFormat/>
    <w:pPr/>
    <w:rPr>
      <w:rFonts w:ascii="Verdana" w:hAnsi="Verdana" w:eastAsia="Verdana" w:cs="Verdana"/>
      <w:sz w:val="20"/>
      <w:szCs w:val="20"/>
      <w:lang w:val="en-US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right="0" w:hanging="0"/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ind w:left="720" w:right="0" w:hanging="0"/>
    </w:pPr>
    <w:rPr>
      <w:rFonts w:eastAsia="Calibri"/>
    </w:rPr>
  </w:style>
  <w:style w:type="paragraph" w:styleId="ConsPlusNormal1">
    <w:name w:val="ConsPlus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ind w:left="0" w:right="0" w:firstLine="720"/>
      <w:jc w:val="left"/>
      <w:textAlignment w:val="baseline"/>
    </w:pPr>
    <w:rPr>
      <w:rFonts w:ascii="Arial" w:hAnsi="Arial" w:eastAsia="Times New Roman" w:cs="Arial"/>
      <w:color w:val="auto"/>
      <w:kern w:val="2"/>
      <w:sz w:val="24"/>
      <w:szCs w:val="20"/>
      <w:lang w:val="ru-RU" w:eastAsia="zh-CN" w:bidi="ar-SA"/>
    </w:rPr>
  </w:style>
  <w:style w:type="paragraph" w:styleId="BalloonText">
    <w:name w:val="Balloon Text"/>
    <w:basedOn w:val="Normal"/>
    <w:qFormat/>
    <w:pPr/>
    <w:rPr>
      <w:rFonts w:ascii="Tahoma" w:hAnsi="Tahoma" w:eastAsia="Tahoma" w:cs="Tahoma"/>
      <w:sz w:val="16"/>
      <w:szCs w:val="16"/>
    </w:rPr>
  </w:style>
  <w:style w:type="paragraph" w:styleId="Style32">
    <w:name w:val="Содержимое таблицы"/>
    <w:basedOn w:val="Standard"/>
    <w:qFormat/>
    <w:pPr>
      <w:suppressLineNumbers/>
    </w:pPr>
    <w:rPr/>
  </w:style>
  <w:style w:type="paragraph" w:styleId="Style33">
    <w:name w:val="Заголовок таблицы"/>
    <w:basedOn w:val="Style32"/>
    <w:qFormat/>
    <w:pPr>
      <w:jc w:val="center"/>
    </w:pPr>
    <w:rPr>
      <w:b/>
      <w:bCs/>
    </w:rPr>
  </w:style>
  <w:style w:type="paragraph" w:styleId="Western">
    <w:name w:val="western"/>
    <w:basedOn w:val="Normal"/>
    <w:qFormat/>
    <w:pPr>
      <w:widowControl/>
      <w:spacing w:before="100" w:after="0"/>
      <w:jc w:val="center"/>
      <w:textAlignment w:val="auto"/>
    </w:pPr>
    <w:rPr>
      <w:rFonts w:ascii="Times New Roman" w:hAnsi="Times New Roman" w:eastAsia="Times New Roman" w:cs="Times New Roman"/>
      <w:b/>
      <w:bCs/>
      <w:color w:val="000000"/>
      <w:kern w:val="0"/>
      <w:lang w:eastAsia="ru-RU" w:bidi="ar-SA"/>
    </w:rPr>
  </w:style>
  <w:style w:type="paragraph" w:styleId="ConsPlusNonformat">
    <w:name w:val="ConsPlusNonformat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211">
    <w:name w:val="Основной текст (2)1"/>
    <w:basedOn w:val="Normal"/>
    <w:qFormat/>
    <w:pPr>
      <w:shd w:fill="FFFFFF" w:val="clear"/>
      <w:spacing w:lineRule="atLeast" w:line="240" w:before="420" w:after="660"/>
      <w:jc w:val="center"/>
      <w:textAlignment w:val="auto"/>
    </w:pPr>
    <w:rPr>
      <w:rFonts w:ascii="Times New Roman" w:hAnsi="Times New Roman" w:cs="Times New Roman"/>
      <w:sz w:val="28"/>
      <w:szCs w:val="28"/>
    </w:rPr>
  </w:style>
  <w:style w:type="paragraph" w:styleId="33">
    <w:name w:val="Основной текст (3)"/>
    <w:basedOn w:val="Normal"/>
    <w:qFormat/>
    <w:pPr>
      <w:shd w:fill="FFFFFF" w:val="clear"/>
      <w:spacing w:lineRule="exact" w:line="331" w:before="0" w:after="420"/>
      <w:jc w:val="center"/>
      <w:textAlignment w:val="auto"/>
    </w:pPr>
    <w:rPr>
      <w:rFonts w:ascii="Times New Roman" w:hAnsi="Times New Roman"/>
      <w:b/>
      <w:bCs/>
      <w:sz w:val="28"/>
      <w:szCs w:val="28"/>
    </w:rPr>
  </w:style>
  <w:style w:type="paragraph" w:styleId="41">
    <w:name w:val="Заголовок №4"/>
    <w:basedOn w:val="Normal"/>
    <w:qFormat/>
    <w:pPr>
      <w:numPr>
        <w:ilvl w:val="0"/>
        <w:numId w:val="0"/>
      </w:numPr>
      <w:shd w:fill="FFFFFF" w:val="clear"/>
      <w:spacing w:lineRule="atLeast" w:line="240" w:before="660" w:after="60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1">
    <w:name w:val="Основной текст (5)"/>
    <w:basedOn w:val="Normal"/>
    <w:qFormat/>
    <w:pPr>
      <w:shd w:fill="FFFFFF" w:val="clear"/>
      <w:spacing w:lineRule="atLeast" w:line="240" w:before="0" w:after="60"/>
      <w:jc w:val="center"/>
      <w:textAlignment w:val="auto"/>
    </w:pPr>
    <w:rPr>
      <w:rFonts w:ascii="Times New Roman" w:hAnsi="Times New Roman"/>
      <w:b/>
      <w:bCs/>
      <w:sz w:val="19"/>
      <w:szCs w:val="19"/>
    </w:rPr>
  </w:style>
  <w:style w:type="paragraph" w:styleId="71">
    <w:name w:val="Основной текст (7)"/>
    <w:basedOn w:val="Normal"/>
    <w:qFormat/>
    <w:pPr>
      <w:shd w:fill="FFFFFF" w:val="clear"/>
      <w:spacing w:lineRule="exact" w:line="326"/>
      <w:jc w:val="both"/>
      <w:textAlignment w:val="auto"/>
    </w:pPr>
    <w:rPr>
      <w:rFonts w:ascii="Constantia" w:hAnsi="Constantia" w:cs="Constantia"/>
      <w:sz w:val="30"/>
      <w:szCs w:val="30"/>
    </w:rPr>
  </w:style>
  <w:style w:type="paragraph" w:styleId="311">
    <w:name w:val="Заголовок №31"/>
    <w:basedOn w:val="Normal"/>
    <w:qFormat/>
    <w:pPr>
      <w:numPr>
        <w:ilvl w:val="0"/>
        <w:numId w:val="0"/>
      </w:numPr>
      <w:shd w:fill="FFFFFF" w:val="clear"/>
      <w:spacing w:lineRule="exact" w:line="326"/>
      <w:ind w:left="0" w:right="0" w:firstLine="740"/>
      <w:jc w:val="both"/>
      <w:textAlignment w:val="auto"/>
      <w:outlineLvl w:val="2"/>
    </w:pPr>
    <w:rPr>
      <w:rFonts w:ascii="Arial" w:hAnsi="Arial" w:cs="Arial"/>
      <w:b/>
      <w:bCs/>
    </w:rPr>
  </w:style>
  <w:style w:type="paragraph" w:styleId="Style34">
    <w:name w:val="Подпись к таблице"/>
    <w:basedOn w:val="Normal"/>
    <w:qFormat/>
    <w:pPr>
      <w:shd w:fill="FFFFFF" w:val="clear"/>
      <w:spacing w:lineRule="atLeast" w:line="240"/>
      <w:textAlignment w:val="auto"/>
    </w:pPr>
    <w:rPr>
      <w:rFonts w:ascii="Times New Roman" w:hAnsi="Times New Roman"/>
      <w:b/>
      <w:bCs/>
      <w:sz w:val="28"/>
      <w:szCs w:val="28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36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>
      <w:szCs w:val="21"/>
    </w:rPr>
  </w:style>
  <w:style w:type="paragraph" w:styleId="Style37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>
      <w:szCs w:val="21"/>
    </w:rPr>
  </w:style>
  <w:style w:type="paragraph" w:styleId="13">
    <w:name w:val="Заголовок №1"/>
    <w:basedOn w:val="Normal"/>
    <w:qFormat/>
    <w:pPr>
      <w:widowControl/>
      <w:numPr>
        <w:ilvl w:val="0"/>
        <w:numId w:val="0"/>
      </w:numPr>
      <w:shd w:fill="FFFFFF" w:val="clear"/>
      <w:spacing w:lineRule="exact" w:line="312" w:before="0" w:after="540"/>
      <w:ind w:left="0" w:right="0" w:hanging="1020"/>
      <w:jc w:val="right"/>
      <w:textAlignment w:val="auto"/>
      <w:outlineLvl w:val="0"/>
    </w:pPr>
    <w:rPr>
      <w:rFonts w:ascii="Times New Roman" w:hAnsi="Times New Roman" w:eastAsia="Times New Roman" w:cs="Times New Roman"/>
      <w:sz w:val="26"/>
      <w:szCs w:val="26"/>
    </w:rPr>
  </w:style>
  <w:style w:type="paragraph" w:styleId="14">
    <w:name w:val="Основной текст1"/>
    <w:basedOn w:val="Normal"/>
    <w:qFormat/>
    <w:pPr>
      <w:widowControl/>
      <w:shd w:fill="FFFFFF" w:val="clear"/>
      <w:spacing w:lineRule="exact" w:line="619"/>
      <w:textAlignment w:val="auto"/>
    </w:pPr>
    <w:rPr>
      <w:rFonts w:ascii="Times New Roman" w:hAnsi="Times New Roman" w:eastAsia="Times New Roman" w:cs="Times New Roman"/>
      <w:sz w:val="26"/>
      <w:szCs w:val="26"/>
    </w:rPr>
  </w:style>
  <w:style w:type="paragraph" w:styleId="Style38">
    <w:name w:val="Колонтитул"/>
    <w:basedOn w:val="Normal"/>
    <w:qFormat/>
    <w:pPr>
      <w:widowControl/>
      <w:shd w:fill="FFFFFF" w:val="clear"/>
      <w:textAlignment w:val="auto"/>
    </w:pPr>
    <w:rPr>
      <w:rFonts w:ascii="Times New Roman" w:hAnsi="Times New Roman" w:eastAsia="Times New Roman" w:cs="Times New Roman"/>
      <w:sz w:val="20"/>
      <w:szCs w:val="20"/>
    </w:rPr>
  </w:style>
  <w:style w:type="paragraph" w:styleId="61">
    <w:name w:val="Основной текст (6)"/>
    <w:basedOn w:val="Normal"/>
    <w:qFormat/>
    <w:pPr>
      <w:widowControl/>
      <w:shd w:fill="FFFFFF" w:val="clear"/>
      <w:spacing w:lineRule="exact" w:line="221"/>
      <w:jc w:val="both"/>
      <w:textAlignment w:val="auto"/>
    </w:pPr>
    <w:rPr>
      <w:rFonts w:ascii="Times New Roman" w:hAnsi="Times New Roman" w:eastAsia="Times New Roman" w:cs="Times New Roman"/>
      <w:sz w:val="17"/>
      <w:szCs w:val="17"/>
    </w:rPr>
  </w:style>
  <w:style w:type="paragraph" w:styleId="34">
    <w:name w:val="Основной текст3"/>
    <w:basedOn w:val="Normal"/>
    <w:qFormat/>
    <w:pPr>
      <w:shd w:fill="FFFFFF" w:val="clear"/>
      <w:spacing w:before="0" w:after="120"/>
      <w:ind w:left="0" w:right="0" w:hanging="240"/>
      <w:textAlignment w:val="auto"/>
    </w:pPr>
    <w:rPr>
      <w:rFonts w:ascii="Times New Roman" w:hAnsi="Times New Roman" w:eastAsia="Times New Roman" w:cs="Times New Roman"/>
      <w:sz w:val="26"/>
      <w:szCs w:val="26"/>
    </w:rPr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  <w:textAlignment w:val="baseline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Style39">
    <w:name w:val="Содержимое врезки"/>
    <w:basedOn w:val="Normal"/>
    <w:qFormat/>
    <w:pPr/>
    <w:rPr/>
  </w:style>
  <w:style w:type="paragraph" w:styleId="Style40">
    <w:name w:val="Обычный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Calibri" w:cs="F"/>
      <w:color w:val="auto"/>
      <w:kern w:val="0"/>
      <w:sz w:val="24"/>
      <w:szCs w:val="24"/>
      <w:lang w:val="ru-RU" w:eastAsia="en-US" w:bidi="ar-SA"/>
    </w:rPr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26F1F90626FEE9277159734589023DA6847C1D8FA2E271BFDCE710523F046497ADE874693C2AF6E9ECAB5947CDp7K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23299</TotalTime>
  <Application>LibreOffice/6.3.4.2$Windows_X86_64 LibreOffice_project/60da17e045e08f1793c57c00ba83cdfce946d0aa</Application>
  <Pages>6</Pages>
  <Words>1693</Words>
  <CharactersWithSpaces>14014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2021-06-29T06:54:00Z</dcterms:created>
  <dc:creator>Меньшенина Татьяна Борисовна</dc:creator>
  <dc:description/>
  <dc:language>ru-RU</dc:language>
  <cp:lastModifiedBy/>
  <cp:lastPrinted>2021-10-08T08:36:38Z</cp:lastPrinted>
  <dcterms:modified xsi:type="dcterms:W3CDTF">2021-10-08T08:38:30Z</dcterms:modified>
  <cp:revision>52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