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spacing w:lineRule="auto" w:line="240" w:before="0" w:after="0"/>
        <w:jc w:val="both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8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14.03.2022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  N 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200</w:t>
      </w:r>
    </w:p>
    <w:p>
      <w:pPr>
        <w:pStyle w:val="Style20"/>
        <w:jc w:val="center"/>
        <w:rPr>
          <w:rFonts w:ascii="Liberation Serif" w:hAnsi="Liberation Serif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</w:r>
    </w:p>
    <w:p>
      <w:pPr>
        <w:pStyle w:val="Style20"/>
        <w:jc w:val="center"/>
        <w:rPr/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 внесении изменений в состав проектного офиса при администрации Камышловского городского округа, утвержденного 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</w:t>
      </w: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остановлением </w:t>
      </w:r>
    </w:p>
    <w:p>
      <w:pPr>
        <w:pStyle w:val="Style20"/>
        <w:jc w:val="center"/>
        <w:rPr>
          <w:rFonts w:ascii="Liberation Serif" w:hAnsi="Liberation Serif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главы Камышловского городского округа от 28.08.2015 года №1273 </w:t>
      </w:r>
    </w:p>
    <w:p>
      <w:pPr>
        <w:pStyle w:val="Style20"/>
        <w:jc w:val="center"/>
        <w:rPr/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(с учетом внесенных изменений от 09.08.2017 №748</w:t>
      </w: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, от 23.10.2018 №916, 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от 02.02.2021 №74)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целях реализации Указа Губернатора Свердловской области от 02.06.2015 №252-УГ «Об утверждении основных направлений инвестиционной политики Свердловской области на период до 2030 года», руководствуясь Уставом Камышловского городского округа, в соответствии с кадровыми изменениями,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Style20"/>
        <w:ind w:left="0" w:right="0" w:firstLine="709"/>
        <w:rPr/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</w:t>
      </w:r>
      <w:r>
        <w:rPr>
          <w:rFonts w:ascii="Liberation Serif" w:hAnsi="Liberation Serif"/>
          <w:sz w:val="28"/>
          <w:szCs w:val="28"/>
        </w:rPr>
        <w:t xml:space="preserve"> состав проектного офиса при администрации Камышловского городского округа, утвержденного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ascii="Liberation Serif" w:hAnsi="Liberation Serif"/>
          <w:sz w:val="28"/>
          <w:szCs w:val="28"/>
        </w:rPr>
        <w:t xml:space="preserve">остановлением главы Камышловского городского округа от 28.08.2015 года 1273 (с учетом внесенных изменений от 09.08.2017 №748, от 23.10.2018 №916,от 02.02.2021 №74 ),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внести следующие изменения:</w:t>
      </w:r>
    </w:p>
    <w:p>
      <w:pPr>
        <w:pStyle w:val="Style2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исключить:</w:t>
      </w:r>
    </w:p>
    <w:p>
      <w:pPr>
        <w:pStyle w:val="Style2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-Бессонова Евгения Александровича, первого заместителя главы администрации Камышловского городского округа;</w:t>
      </w:r>
    </w:p>
    <w:p>
      <w:pPr>
        <w:pStyle w:val="Style2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включить:</w:t>
      </w:r>
    </w:p>
    <w:p>
      <w:pPr>
        <w:pStyle w:val="Style2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Мартьянова Константина Евгеньевича,  первого заместителя главы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. Настоящее постановление разместить на официальном сайте Камышловского городского округа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.  </w:t>
      </w:r>
      <w:r>
        <w:rPr>
          <w:rFonts w:cs="Times New Roman" w:ascii="Liberation Serif" w:hAnsi="Liberation Serif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Normal"/>
        <w:widowControl/>
        <w:tabs>
          <w:tab w:val="clear" w:pos="709"/>
          <w:tab w:val="left" w:pos="9107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tabs>
          <w:tab w:val="clear" w:pos="709"/>
          <w:tab w:val="left" w:pos="9107" w:leader="none"/>
        </w:tabs>
        <w:spacing w:before="0" w:after="0"/>
        <w:ind w:left="0" w:right="445" w:hanging="0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707" w:header="709" w:top="85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6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4380" w:leader="none"/>
      </w:tabs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Название Знак"/>
    <w:basedOn w:val="DefaultParagraphFont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ascii="Arial" w:hAnsi="Arial" w:eastAsia="Times New Roman" w:cs="Times New Roman"/>
      <w:b/>
      <w:i/>
      <w:sz w:val="32"/>
      <w:szCs w:val="20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LibreOffice/6.4.7.2$Linux_X86_64 LibreOffice_project/40$Build-2</Application>
  <Pages>1</Pages>
  <Words>182</Words>
  <Characters>1287</Characters>
  <CharactersWithSpaces>1503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2018-03-29T11:21:00Z</dcterms:created>
  <dc:creator>Наталья Витальевна</dc:creator>
  <dc:description/>
  <dc:language>ru-RU</dc:language>
  <cp:lastModifiedBy/>
  <cp:lastPrinted>2022-03-15T08:40:17Z</cp:lastPrinted>
  <dcterms:modified xsi:type="dcterms:W3CDTF">2022-03-15T08:40:25Z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