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widowControl/>
        <w:bidi w:val="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jc w:val="left"/>
        <w:rPr/>
      </w:pPr>
      <w:bookmarkStart w:id="0" w:name="_GoBack2"/>
      <w:bookmarkStart w:id="1" w:name="_GoBack1"/>
      <w:bookmarkEnd w:id="0"/>
      <w:bookmarkEnd w:id="1"/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22.04.2020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26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 w:bidi="ar-SA"/>
        </w:rPr>
        <w:t>9</w:t>
      </w:r>
    </w:p>
    <w:p>
      <w:pPr>
        <w:pStyle w:val="Normal"/>
        <w:jc w:val="right"/>
        <w:rPr>
          <w:rFonts w:ascii="Liberation Serif" w:hAnsi="Liberation Serif"/>
          <w:b w:val="false"/>
          <w:b w:val="false"/>
          <w:i w:val="false"/>
          <w:i w:val="false"/>
          <w:sz w:val="26"/>
        </w:rPr>
      </w:pPr>
      <w:r>
        <w:rPr>
          <w:rFonts w:ascii="Liberation Serif" w:hAnsi="Liberation Serif"/>
          <w:b w:val="false"/>
          <w:i w:val="false"/>
          <w:sz w:val="26"/>
        </w:rPr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2" w:name="__DdeLink__7564_2210055745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Об организации перевода в электронный вид государственных и муниципальных услуг на территории Камышловского городского округа</w:t>
      </w:r>
      <w:bookmarkEnd w:id="2"/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 июля 2010 года № 210-ФЗ «Об организации предоставления государственных и муниципальных услуг», Распоряжением Правительства Российской Федерации от 17.12.2009 г. № 1993-р «Об утверждении сводного перечня первоочередных государственных и муниципальных услуг, предоставляемых в электронном виде», Распоряжением Правительства Свердловской области от 22.07.2013 г. № 1021-РП «Об организации перевода государственных и муниципальных услуг в электронный вид», руководствуясь уставом Камышловского городского округа администрация Камышловского городского округа</w:t>
      </w:r>
    </w:p>
    <w:p>
      <w:pPr>
        <w:pStyle w:val="Normal"/>
        <w:widowControl/>
        <w:tabs>
          <w:tab w:val="clear" w:pos="709"/>
          <w:tab w:val="left" w:pos="900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15"/>
        <w:tabs>
          <w:tab w:val="clear" w:pos="709"/>
          <w:tab w:val="left" w:pos="900" w:leader="none"/>
        </w:tabs>
        <w:spacing w:lineRule="auto" w:line="240" w:before="0" w:after="0"/>
        <w:ind w:left="0" w:right="0" w:firstLine="72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8"/>
          <w:szCs w:val="28"/>
        </w:rPr>
        <w:t>1. Утвердить перечень государственных и муниципальных услуг, которые являются необходимыми и обязательными для предоставления на территории Камышловского городского округа и подлежат переводу в электронный вид (прилагается).</w:t>
      </w:r>
    </w:p>
    <w:p>
      <w:pPr>
        <w:pStyle w:val="15"/>
        <w:tabs>
          <w:tab w:val="clear" w:pos="709"/>
          <w:tab w:val="left" w:pos="900" w:leader="none"/>
        </w:tabs>
        <w:spacing w:lineRule="auto" w:line="240" w:before="0" w:after="0"/>
        <w:ind w:left="0" w:right="0" w:firstLine="720"/>
        <w:jc w:val="both"/>
        <w:rPr>
          <w:rFonts w:ascii="Liberation Serif" w:hAnsi="Liberation Serif"/>
          <w:b w:val="false"/>
          <w:b w:val="false"/>
          <w:i w:val="false"/>
          <w:i w:val="false"/>
          <w:sz w:val="26"/>
        </w:rPr>
      </w:pPr>
      <w:r>
        <w:rPr>
          <w:rFonts w:ascii="Liberation Serif" w:hAnsi="Liberation Serif"/>
          <w:sz w:val="28"/>
          <w:szCs w:val="28"/>
        </w:rPr>
        <w:t>2. Постановление главы Камышловского городского округа № 236 от 17.03.2017 года «</w:t>
      </w:r>
      <w:r>
        <w:rPr>
          <w:rFonts w:ascii="Liberation Serif" w:hAnsi="Liberation Serif"/>
          <w:b w:val="false"/>
          <w:i w:val="false"/>
          <w:sz w:val="28"/>
          <w:szCs w:val="28"/>
        </w:rPr>
        <w:t>Об организации перевода в электронный вид муниципальных услуг на территории Камышловского городского округа</w:t>
      </w:r>
      <w:r>
        <w:rPr>
          <w:rFonts w:ascii="Liberation Serif" w:hAnsi="Liberation Serif"/>
          <w:sz w:val="28"/>
          <w:szCs w:val="28"/>
        </w:rPr>
        <w:t>» считать утратившим силу.</w:t>
      </w:r>
    </w:p>
    <w:p>
      <w:pPr>
        <w:pStyle w:val="15"/>
        <w:spacing w:lineRule="auto" w:line="240" w:before="0" w:after="0"/>
        <w:ind w:left="0" w:right="0" w:firstLine="72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сети «Интернет».</w:t>
      </w:r>
    </w:p>
    <w:p>
      <w:pPr>
        <w:pStyle w:val="15"/>
        <w:spacing w:lineRule="auto" w:line="240" w:before="0" w:after="0"/>
        <w:ind w:left="0" w:right="0" w:firstLine="72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15"/>
        <w:spacing w:lineRule="auto" w:line="240"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5"/>
        <w:spacing w:lineRule="auto" w:line="240"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7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spacing w:lineRule="auto" w:line="27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А.В. Половников </w:t>
      </w:r>
    </w:p>
    <w:tbl>
      <w:tblPr>
        <w:tblStyle w:val="Style_2"/>
        <w:tblW w:w="15000" w:type="dxa"/>
        <w:jc w:val="left"/>
        <w:tblInd w:w="13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498"/>
        <w:gridCol w:w="4916"/>
      </w:tblGrid>
      <w:tr>
        <w:trPr>
          <w:trHeight w:val="3404" w:hRule="atLeast"/>
        </w:trPr>
        <w:tc>
          <w:tcPr>
            <w:tcW w:w="15000" w:type="dxa"/>
            <w:gridSpan w:val="3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ind w:left="10205" w:right="0" w:hanging="0"/>
              <w:contextualSpacing/>
              <w:rPr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sz w:val="26"/>
              </w:rPr>
              <w:t>УТВЕРЖДЕН</w:t>
            </w:r>
          </w:p>
          <w:p>
            <w:pPr>
              <w:pStyle w:val="Normal"/>
              <w:spacing w:before="0" w:after="0"/>
              <w:ind w:left="10205" w:right="113" w:hanging="0"/>
              <w:contextualSpacing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постановлением администрации</w:t>
            </w:r>
          </w:p>
          <w:p>
            <w:pPr>
              <w:pStyle w:val="Normal"/>
              <w:spacing w:before="0" w:after="0"/>
              <w:ind w:left="10205" w:right="113" w:hanging="0"/>
              <w:contextualSpacing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Камышловского городского округа </w:t>
            </w:r>
          </w:p>
          <w:p>
            <w:pPr>
              <w:pStyle w:val="Normal"/>
              <w:spacing w:before="0" w:after="0"/>
              <w:ind w:left="10205" w:right="113" w:hanging="0"/>
              <w:contextualSpacing/>
              <w:rPr/>
            </w:pPr>
            <w:r>
              <w:rPr>
                <w:rFonts w:ascii="Liberation Serif" w:hAnsi="Liberation Serif"/>
                <w:sz w:val="26"/>
              </w:rPr>
              <w:t>от 22.04.2020 № 269</w:t>
            </w:r>
          </w:p>
          <w:p>
            <w:pPr>
              <w:pStyle w:val="Normal"/>
              <w:tabs>
                <w:tab w:val="clear" w:pos="709"/>
                <w:tab w:val="left" w:pos="10118" w:leader="none"/>
              </w:tabs>
              <w:ind w:left="9126" w:right="-154" w:hanging="0"/>
              <w:rPr>
                <w:rFonts w:ascii="Liberation Serif" w:hAnsi="Liberation Serif"/>
                <w:b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</w:r>
          </w:p>
          <w:p>
            <w:pPr>
              <w:pStyle w:val="Normal"/>
              <w:tabs>
                <w:tab w:val="clear" w:pos="709"/>
                <w:tab w:val="left" w:pos="10118" w:leader="none"/>
              </w:tabs>
              <w:ind w:left="0" w:right="-154" w:firstLine="9126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 xml:space="preserve">Перечень государственных и муниципальных услуг, которые являются необходимыми и обязательными для предоставления на территории Камышловского городского округа и подлежат переводу в электронный вид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</w:r>
          </w:p>
        </w:tc>
      </w:tr>
      <w:tr>
        <w:trPr>
          <w:trHeight w:val="267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</w:rPr>
              <w:t xml:space="preserve">№ </w:t>
            </w:r>
            <w:r>
              <w:rPr>
                <w:rFonts w:ascii="Liberation Serif" w:hAnsi="Liberation Serif"/>
                <w:b/>
                <w:color w:val="000000"/>
                <w:sz w:val="26"/>
              </w:rPr>
              <w:t>п/п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</w:rPr>
              <w:t>Наименование услуги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</w:rPr>
              <w:t>Ответственный исполнитель</w:t>
            </w:r>
          </w:p>
        </w:tc>
      </w:tr>
      <w:tr>
        <w:trPr>
          <w:trHeight w:val="93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3</w:t>
            </w:r>
          </w:p>
        </w:tc>
      </w:tr>
      <w:tr>
        <w:trPr>
          <w:trHeight w:val="97" w:hRule="atLeast"/>
        </w:trPr>
        <w:tc>
          <w:tcPr>
            <w:tcW w:w="1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</w:rPr>
              <w:t>Услуги в сфере образования</w:t>
            </w:r>
          </w:p>
        </w:tc>
      </w:tr>
      <w:tr>
        <w:trPr>
          <w:trHeight w:val="183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746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Камышловского городского округа Свердловской области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39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245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269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124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133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Зачисление в образовательное учреждение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117" w:hRule="atLeast"/>
        </w:trPr>
        <w:tc>
          <w:tcPr>
            <w:tcW w:w="1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</w:rPr>
              <w:t>Услуги в сфере агропромышленного комплекса и продовольствия</w:t>
            </w:r>
          </w:p>
        </w:tc>
      </w:tr>
      <w:tr>
        <w:trPr>
          <w:trHeight w:val="385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Выдача разрешения на право организации розничных рынков на территории Камышловского городского округа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93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Переоформление разрешения на право организации розничных рынков на территории Камышловского городского округа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70" w:hRule="atLeast"/>
        </w:trPr>
        <w:tc>
          <w:tcPr>
            <w:tcW w:w="1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</w:rPr>
              <w:t>Услуги в сфере социальной политики</w:t>
            </w:r>
          </w:p>
        </w:tc>
      </w:tr>
      <w:tr>
        <w:trPr>
          <w:trHeight w:val="323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color w:val="000000"/>
                <w:spacing w:val="0"/>
                <w:sz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Муниципальное казенное учреждение "Центр обеспечения деятельности администрации Камышловского городского округа"</w:t>
            </w:r>
          </w:p>
        </w:tc>
      </w:tr>
      <w:tr>
        <w:trPr>
          <w:trHeight w:val="347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color w:val="000000"/>
                <w:spacing w:val="0"/>
                <w:sz w:val="26"/>
              </w:rPr>
              <w:t>Предоставление отдельным категориям граждан компенсаций расходов на оплату жилого помещения и коммунальных услуг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Муниципальное казенное учреждение "Центр обеспечения деятельности администрации Камышловского городского округа"</w:t>
            </w:r>
          </w:p>
        </w:tc>
      </w:tr>
      <w:tr>
        <w:trPr>
          <w:trHeight w:val="20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70" w:hRule="atLeast"/>
        </w:trPr>
        <w:tc>
          <w:tcPr>
            <w:tcW w:w="1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</w:rPr>
              <w:t>Услуги в сфере муниципального имущества и земельных ресурсов</w:t>
            </w:r>
          </w:p>
        </w:tc>
      </w:tr>
      <w:tr>
        <w:trPr>
          <w:trHeight w:val="399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Выдача разрешений на установку и эксплуатацию рекламных конструкций на территории Камышловского городского округа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399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409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0" w:hanging="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Предварительное согласование предоставления земельных участков из состава земель, государственная собственность на которые не разграничена, и из земель, находящихся в собственности муниципального образования, на территории Камышловского городского округа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419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color w:val="000000"/>
                <w:sz w:val="26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343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color w:val="000000"/>
                <w:sz w:val="26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1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color w:val="000000"/>
                <w:sz w:val="26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на которых располагаются здания, сооружения, в собственность гражданам и юридическим лицам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color w:val="000000"/>
                <w:sz w:val="26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79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22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color w:val="000000"/>
                <w:sz w:val="26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79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sz w:val="26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9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24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Исключение жилых помещений из числа служебных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629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117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26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color w:val="000000"/>
                <w:sz w:val="26"/>
              </w:rPr>
              <w:t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137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27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Выдача разрешения (ордера) на производство земляных работ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29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28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335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29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color w:val="000000"/>
                <w:sz w:val="26"/>
              </w:rPr>
              <w:t>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находящихся на территории Камышловского городского округа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335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30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</w:rPr>
            </w:r>
          </w:p>
        </w:tc>
        <w:tc>
          <w:tcPr>
            <w:tcW w:w="1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</w:rPr>
              <w:t>Услуги в сфере строительства и развития инфраструктуры</w:t>
            </w:r>
          </w:p>
        </w:tc>
      </w:tr>
      <w:tr>
        <w:trPr>
          <w:trHeight w:val="276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31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26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32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Предоставление сведений, документов и материалов, содержащихся в государственных системах обеспечения градостроительной деятельности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175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33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8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34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sz w:val="26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35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sz w:val="26"/>
              </w:rPr>
              <w:t>Предоставление порубочного билета и (или) разрешения на пересадку деревьев и кустарников на территории Камышловского городского округа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Муниципальное казенное учреждение "Центр обеспечения деятельности администрации Камышловского городского округа"</w:t>
            </w:r>
          </w:p>
        </w:tc>
      </w:tr>
      <w:tr>
        <w:trPr>
          <w:trHeight w:val="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36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sz w:val="26"/>
              </w:rPr>
              <w:t>Выдача градостроительных планов земельных участков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47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37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1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38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sz w:val="26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1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39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sz w:val="26"/>
              </w:rPr>
              <w:t>Присвоение адреса объекту недвижимости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1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40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sz w:val="26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1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41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4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42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1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43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1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44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Принятие решения об утверждении документации по планировке территории на территории Камышловского городского округа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1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45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Направление уведомления о планируемом сносе объекта капитального строительства, уведомления о завершении сноса объекта капитального строительства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1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46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1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47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70" w:hRule="atLeast"/>
        </w:trPr>
        <w:tc>
          <w:tcPr>
            <w:tcW w:w="1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</w:rPr>
              <w:t>Услуги в сфере транспорта и связи</w:t>
            </w:r>
          </w:p>
        </w:tc>
      </w:tr>
      <w:tr>
        <w:trPr>
          <w:trHeight w:val="335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48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75" w:hRule="atLeast"/>
        </w:trPr>
        <w:tc>
          <w:tcPr>
            <w:tcW w:w="1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</w:rPr>
              <w:t>Услуги в сфере обеспечения жильем молодых семей</w:t>
            </w:r>
          </w:p>
        </w:tc>
      </w:tr>
      <w:tr>
        <w:trPr>
          <w:trHeight w:val="263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49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34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50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муниципального образования Камышловский городской округ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507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51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социальных выплат молодым семьям на приобретение (строительство) жилья на территории муниципального образования Камышловский городской округ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91" w:hRule="atLeast"/>
        </w:trPr>
        <w:tc>
          <w:tcPr>
            <w:tcW w:w="1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</w:rPr>
              <w:t>Услуги в сфере архивного дела</w:t>
            </w:r>
          </w:p>
        </w:tc>
      </w:tr>
      <w:tr>
        <w:trPr>
          <w:trHeight w:val="224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52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sz w:val="26"/>
              </w:rPr>
              <w:t>Выдача копий архивных документов, подтверждающих право на владение землей"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Организационный отдел администрации Камышловского городского округа</w:t>
            </w:r>
          </w:p>
        </w:tc>
      </w:tr>
      <w:tr>
        <w:trPr>
          <w:trHeight w:val="4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53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sz w:val="26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Организационный отдел администрации Камышловского городского округа</w:t>
            </w:r>
          </w:p>
        </w:tc>
      </w:tr>
      <w:tr>
        <w:trPr>
          <w:trHeight w:val="219" w:hRule="atLeast"/>
        </w:trPr>
        <w:tc>
          <w:tcPr>
            <w:tcW w:w="1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</w:rPr>
              <w:t>Услуги в сфере энергетики и жилищно-коммунального хозяйства</w:t>
            </w:r>
          </w:p>
        </w:tc>
      </w:tr>
      <w:tr>
        <w:trPr>
          <w:trHeight w:val="276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54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75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55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56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517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57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Принятие решения о переводе жилого помещения в нежилое и нежилого помещения в жилое помещение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8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58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45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59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05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60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453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61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47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62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Включение жилых помещений в состав специализированного жилищного фонда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353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63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Организационный отдел администрации Камышловского городского округа</w:t>
            </w:r>
          </w:p>
        </w:tc>
      </w:tr>
      <w:tr>
        <w:trPr>
          <w:trHeight w:val="70" w:hRule="atLeast"/>
        </w:trPr>
        <w:tc>
          <w:tcPr>
            <w:tcW w:w="1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</w:rPr>
              <w:t>Услуги в сфере культуры</w:t>
            </w:r>
          </w:p>
        </w:tc>
      </w:tr>
      <w:tr>
        <w:trPr>
          <w:trHeight w:val="22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color w:val="000000"/>
                <w:sz w:val="26"/>
              </w:rPr>
              <w:t>64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информации о культурно-досуговых услугах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359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color w:val="000000"/>
                <w:sz w:val="26"/>
              </w:rPr>
              <w:t>65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Запись на обзорные, тематические и интерактивные экскурсии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227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color w:val="000000"/>
                <w:sz w:val="26"/>
              </w:rPr>
              <w:t>66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237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color w:val="000000"/>
                <w:sz w:val="26"/>
              </w:rPr>
              <w:t>67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247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color w:val="000000"/>
                <w:sz w:val="26"/>
              </w:rPr>
            </w:pPr>
            <w:r>
              <w:rPr>
                <w:rFonts w:ascii="Liberation Serif" w:hAnsi="Liberation Serif"/>
                <w:b w:val="false"/>
                <w:color w:val="000000"/>
                <w:sz w:val="26"/>
              </w:rPr>
              <w:t>68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headerReference w:type="default" r:id="rId3"/>
      <w:type w:val="nextPage"/>
      <w:pgSz w:w="16838" w:h="11906"/>
      <w:pgMar w:left="1418" w:right="1134" w:header="709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XO Thames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354.1pt;margin-top:0.05pt;width:6pt;height:13.6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25_ch"/>
    <w:uiPriority w:val="9"/>
    <w:qFormat/>
    <w:pPr>
      <w:keepNext w:val="true"/>
      <w:jc w:val="center"/>
      <w:outlineLvl w:val="0"/>
    </w:pPr>
    <w:rPr>
      <w:b/>
    </w:rPr>
  </w:style>
  <w:style w:type="paragraph" w:styleId="2">
    <w:name w:val="Heading 2"/>
    <w:basedOn w:val="Normal"/>
    <w:next w:val="Normal"/>
    <w:link w:val="Style_46_ch"/>
    <w:uiPriority w:val="9"/>
    <w:qFormat/>
    <w:pPr>
      <w:keepNext w:val="true"/>
      <w:outlineLvl w:val="1"/>
    </w:pPr>
    <w:rPr>
      <w:sz w:val="28"/>
    </w:rPr>
  </w:style>
  <w:style w:type="paragraph" w:styleId="3">
    <w:name w:val="Heading 3"/>
    <w:basedOn w:val="Normal"/>
    <w:next w:val="Normal"/>
    <w:link w:val="Style_11_ch"/>
    <w:uiPriority w:val="9"/>
    <w:qFormat/>
    <w:pPr>
      <w:keepNext w:val="true"/>
      <w:jc w:val="both"/>
      <w:outlineLvl w:val="2"/>
    </w:pPr>
    <w:rPr>
      <w:b/>
      <w:sz w:val="28"/>
    </w:rPr>
  </w:style>
  <w:style w:type="paragraph" w:styleId="4">
    <w:name w:val="Heading 4"/>
    <w:basedOn w:val="Normal"/>
    <w:next w:val="Normal"/>
    <w:link w:val="Style_45_ch"/>
    <w:uiPriority w:val="9"/>
    <w:qFormat/>
    <w:pPr>
      <w:keepNext w:val="true"/>
      <w:outlineLvl w:val="3"/>
    </w:pPr>
    <w:rPr>
      <w:b/>
    </w:rPr>
  </w:style>
  <w:style w:type="paragraph" w:styleId="5">
    <w:name w:val="Heading 5"/>
    <w:next w:val="Normal"/>
    <w:link w:val="Style_22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4"/>
    <w:qFormat/>
    <w:rPr/>
  </w:style>
  <w:style w:type="character" w:styleId="Contents4">
    <w:name w:val="Contents 4"/>
    <w:link w:val="Style_5"/>
    <w:qFormat/>
    <w:rPr/>
  </w:style>
  <w:style w:type="character" w:styleId="Style9">
    <w:name w:val="Знак Знак"/>
    <w:link w:val="Style_6"/>
    <w:qFormat/>
    <w:rPr>
      <w:rFonts w:ascii="Verdana" w:hAnsi="Verdana"/>
      <w:sz w:val="20"/>
    </w:rPr>
  </w:style>
  <w:style w:type="character" w:styleId="Contents6">
    <w:name w:val="Contents 6"/>
    <w:link w:val="Style_7"/>
    <w:qFormat/>
    <w:rPr/>
  </w:style>
  <w:style w:type="character" w:styleId="Contents7">
    <w:name w:val="Contents 7"/>
    <w:link w:val="Style_8"/>
    <w:qFormat/>
    <w:rPr/>
  </w:style>
  <w:style w:type="character" w:styleId="Textbodyindent">
    <w:name w:val="Text body indent"/>
    <w:link w:val="Style_9"/>
    <w:qFormat/>
    <w:rPr/>
  </w:style>
  <w:style w:type="character" w:styleId="FollowedHyperlink">
    <w:name w:val="FollowedHyperlink"/>
    <w:link w:val="Style_10"/>
    <w:qFormat/>
    <w:rPr>
      <w:color w:val="0000FF"/>
      <w:u w:val="single"/>
    </w:rPr>
  </w:style>
  <w:style w:type="character" w:styleId="Heading3">
    <w:name w:val="Heading 3"/>
    <w:link w:val="Style_11"/>
    <w:qFormat/>
    <w:rPr>
      <w:b/>
      <w:sz w:val="28"/>
    </w:rPr>
  </w:style>
  <w:style w:type="character" w:styleId="11">
    <w:name w:val="Знак1"/>
    <w:link w:val="Style_12"/>
    <w:qFormat/>
    <w:rPr>
      <w:rFonts w:ascii="Verdana" w:hAnsi="Verdana"/>
      <w:sz w:val="20"/>
    </w:rPr>
  </w:style>
  <w:style w:type="character" w:styleId="Ctl">
    <w:name w:val="ctl"/>
    <w:link w:val="Style_13"/>
    <w:qFormat/>
    <w:rPr>
      <w:color w:val="000000"/>
      <w:sz w:val="20"/>
    </w:rPr>
  </w:style>
  <w:style w:type="character" w:styleId="12">
    <w:name w:val="Абзац списка1"/>
    <w:link w:val="Style_1"/>
    <w:qFormat/>
    <w:rPr>
      <w:rFonts w:ascii="Calibri" w:hAnsi="Calibri"/>
      <w:sz w:val="22"/>
    </w:rPr>
  </w:style>
  <w:style w:type="character" w:styleId="ConsPlusTitle">
    <w:name w:val="ConsPlusTitle"/>
    <w:link w:val="Style_14"/>
    <w:qFormat/>
    <w:rPr>
      <w:rFonts w:ascii="Calibri" w:hAnsi="Calibri"/>
      <w:b/>
      <w:sz w:val="22"/>
    </w:rPr>
  </w:style>
  <w:style w:type="character" w:styleId="BodyTextIndent2">
    <w:name w:val="Body Text Indent 2"/>
    <w:link w:val="Style_15"/>
    <w:qFormat/>
    <w:rPr>
      <w:sz w:val="20"/>
    </w:rPr>
  </w:style>
  <w:style w:type="character" w:styleId="ConsPlusNonformat">
    <w:name w:val="ConsPlusNonformat"/>
    <w:link w:val="Style_16"/>
    <w:qFormat/>
    <w:rPr>
      <w:rFonts w:ascii="Courier New" w:hAnsi="Courier New"/>
    </w:rPr>
  </w:style>
  <w:style w:type="character" w:styleId="13">
    <w:name w:val="Без интервала1"/>
    <w:link w:val="Style_17"/>
    <w:qFormat/>
    <w:rPr>
      <w:sz w:val="24"/>
    </w:rPr>
  </w:style>
  <w:style w:type="character" w:styleId="Contents3">
    <w:name w:val="Contents 3"/>
    <w:link w:val="Style_18"/>
    <w:qFormat/>
    <w:rPr/>
  </w:style>
  <w:style w:type="character" w:styleId="BodyText3">
    <w:name w:val="Body Text 3"/>
    <w:link w:val="Style_19"/>
    <w:qFormat/>
    <w:rPr>
      <w:sz w:val="20"/>
    </w:rPr>
  </w:style>
  <w:style w:type="character" w:styleId="BodyText2">
    <w:name w:val="Body Text 2"/>
    <w:link w:val="Style_20"/>
    <w:qFormat/>
    <w:rPr/>
  </w:style>
  <w:style w:type="character" w:styleId="Highlightactive">
    <w:name w:val="highlight_active"/>
    <w:link w:val="Style_21"/>
    <w:qFormat/>
    <w:rPr>
      <w:color w:val="000000"/>
    </w:rPr>
  </w:style>
  <w:style w:type="character" w:styleId="Heading5">
    <w:name w:val="Heading 5"/>
    <w:link w:val="Style_22"/>
    <w:qFormat/>
    <w:rPr>
      <w:rFonts w:ascii="XO Thames" w:hAnsi="XO Thames"/>
      <w:b/>
      <w:color w:val="000000"/>
      <w:sz w:val="22"/>
    </w:rPr>
  </w:style>
  <w:style w:type="character" w:styleId="Header">
    <w:name w:val="Header"/>
    <w:link w:val="Style_23"/>
    <w:qFormat/>
    <w:rPr/>
  </w:style>
  <w:style w:type="character" w:styleId="NormalWeb">
    <w:name w:val="Normal (Web)"/>
    <w:link w:val="Style_24"/>
    <w:qFormat/>
    <w:rPr/>
  </w:style>
  <w:style w:type="character" w:styleId="Heading1">
    <w:name w:val="Heading 1"/>
    <w:link w:val="Style_25"/>
    <w:qFormat/>
    <w:rPr>
      <w:b/>
    </w:rPr>
  </w:style>
  <w:style w:type="character" w:styleId="Highlighthighlightactive">
    <w:name w:val="highlight highlight_active"/>
    <w:basedOn w:val="DefaultParagraphFont"/>
    <w:link w:val="Style_26"/>
    <w:qFormat/>
    <w:rPr/>
  </w:style>
  <w:style w:type="character" w:styleId="Cjk">
    <w:name w:val="cjk"/>
    <w:link w:val="Style_28"/>
    <w:qFormat/>
    <w:rPr>
      <w:color w:val="000000"/>
      <w:sz w:val="20"/>
    </w:rPr>
  </w:style>
  <w:style w:type="character" w:styleId="Style10">
    <w:name w:val="Интернет-ссылка"/>
    <w:link w:val="Style_29"/>
    <w:rPr>
      <w:color w:val="0000FF"/>
      <w:u w:val="single"/>
    </w:rPr>
  </w:style>
  <w:style w:type="character" w:styleId="Footnote">
    <w:name w:val="Footnote"/>
    <w:link w:val="Style_30"/>
    <w:qFormat/>
    <w:rPr>
      <w:rFonts w:ascii="XO Thames" w:hAnsi="XO Thames"/>
      <w:sz w:val="22"/>
    </w:rPr>
  </w:style>
  <w:style w:type="character" w:styleId="Contents1">
    <w:name w:val="Contents 1"/>
    <w:link w:val="Style_31"/>
    <w:qFormat/>
    <w:rPr>
      <w:rFonts w:ascii="XO Thames" w:hAnsi="XO Thames"/>
      <w:b/>
    </w:rPr>
  </w:style>
  <w:style w:type="character" w:styleId="HeaderandFooter">
    <w:name w:val="Header and Footer"/>
    <w:link w:val="Style_32"/>
    <w:qFormat/>
    <w:rPr>
      <w:rFonts w:ascii="XO Thames" w:hAnsi="XO Thames"/>
      <w:sz w:val="20"/>
    </w:rPr>
  </w:style>
  <w:style w:type="character" w:styleId="Bsafepanelinjectcurrent">
    <w:name w:val="b-safe-panel__inject-current"/>
    <w:link w:val="Style_33"/>
    <w:qFormat/>
    <w:rPr>
      <w:color w:val="000000"/>
    </w:rPr>
  </w:style>
  <w:style w:type="character" w:styleId="Contents9">
    <w:name w:val="Contents 9"/>
    <w:link w:val="Style_34"/>
    <w:qFormat/>
    <w:rPr/>
  </w:style>
  <w:style w:type="character" w:styleId="10">
    <w:name w:val="Основной текст10"/>
    <w:link w:val="Style_35"/>
    <w:qFormat/>
    <w:rPr>
      <w:sz w:val="26"/>
      <w:highlight w:val="white"/>
    </w:rPr>
  </w:style>
  <w:style w:type="character" w:styleId="Contents8">
    <w:name w:val="Contents 8"/>
    <w:link w:val="Style_36"/>
    <w:qFormat/>
    <w:rPr/>
  </w:style>
  <w:style w:type="character" w:styleId="Western">
    <w:name w:val="western"/>
    <w:link w:val="Style_37"/>
    <w:qFormat/>
    <w:rPr>
      <w:color w:val="000000"/>
      <w:sz w:val="20"/>
    </w:rPr>
  </w:style>
  <w:style w:type="character" w:styleId="Style11">
    <w:name w:val="Знак"/>
    <w:link w:val="Style_38"/>
    <w:qFormat/>
    <w:rPr>
      <w:rFonts w:ascii="Verdana" w:hAnsi="Verdana"/>
      <w:sz w:val="20"/>
    </w:rPr>
  </w:style>
  <w:style w:type="character" w:styleId="Textbody">
    <w:name w:val="Text body"/>
    <w:link w:val="Style_39"/>
    <w:qFormat/>
    <w:rPr/>
  </w:style>
  <w:style w:type="character" w:styleId="Contents5">
    <w:name w:val="Contents 5"/>
    <w:link w:val="Style_40"/>
    <w:qFormat/>
    <w:rPr/>
  </w:style>
  <w:style w:type="character" w:styleId="DefaultParagraphFont">
    <w:name w:val="Default Paragraph Font"/>
    <w:link w:val="Style_27"/>
    <w:qFormat/>
    <w:rPr/>
  </w:style>
  <w:style w:type="character" w:styleId="Footer">
    <w:name w:val="Footer"/>
    <w:link w:val="Style_41"/>
    <w:qFormat/>
    <w:rPr/>
  </w:style>
  <w:style w:type="character" w:styleId="Subtitle">
    <w:name w:val="Subtitle"/>
    <w:link w:val="Style_42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43"/>
    <w:qFormat/>
    <w:rPr/>
  </w:style>
  <w:style w:type="character" w:styleId="Title">
    <w:name w:val="Title"/>
    <w:link w:val="Style_44"/>
    <w:qFormat/>
    <w:rPr>
      <w:b/>
    </w:rPr>
  </w:style>
  <w:style w:type="character" w:styleId="Heading4">
    <w:name w:val="Heading 4"/>
    <w:link w:val="Style_45"/>
    <w:qFormat/>
    <w:rPr>
      <w:b/>
    </w:rPr>
  </w:style>
  <w:style w:type="character" w:styleId="Heading2">
    <w:name w:val="Heading 2"/>
    <w:link w:val="Style_46"/>
    <w:qFormat/>
    <w:rPr>
      <w:sz w:val="28"/>
    </w:rPr>
  </w:style>
  <w:style w:type="character" w:styleId="BalloonText">
    <w:name w:val="Balloon Text"/>
    <w:link w:val="Style_47"/>
    <w:qFormat/>
    <w:rPr>
      <w:rFonts w:ascii="Segoe UI" w:hAnsi="Segoe UI"/>
      <w:sz w:val="18"/>
    </w:rPr>
  </w:style>
  <w:style w:type="character" w:styleId="Style12">
    <w:name w:val="Основной шрифт абзаца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4">
    <w:name w:val="Body Text"/>
    <w:basedOn w:val="Normal"/>
    <w:link w:val="Style_39_ch"/>
    <w:pPr>
      <w:jc w:val="both"/>
    </w:pPr>
    <w:rPr/>
  </w:style>
  <w:style w:type="paragraph" w:styleId="Style15">
    <w:name w:val="List"/>
    <w:basedOn w:val="Style14"/>
    <w:pPr/>
    <w:rPr>
      <w:rFonts w:ascii="Times New Roman" w:hAnsi="Times New Roman"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21">
    <w:name w:val="TOC 2"/>
    <w:next w:val="Normal"/>
    <w:link w:val="Style_4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Tahoma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next w:val="Normal"/>
    <w:link w:val="Style_5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Tahoma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Знак Знак"/>
    <w:basedOn w:val="Normal"/>
    <w:link w:val="Style_6_ch"/>
    <w:qFormat/>
    <w:pPr/>
    <w:rPr>
      <w:rFonts w:ascii="Verdana" w:hAnsi="Verdana"/>
      <w:sz w:val="20"/>
    </w:rPr>
  </w:style>
  <w:style w:type="paragraph" w:styleId="6">
    <w:name w:val="TOC 6"/>
    <w:next w:val="Normal"/>
    <w:link w:val="Style_7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Tahoma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Tahoma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Body Text Indent"/>
    <w:basedOn w:val="Normal"/>
    <w:link w:val="Style_9_ch"/>
    <w:pPr>
      <w:spacing w:before="0" w:after="120"/>
      <w:ind w:left="283" w:right="0" w:hanging="0"/>
    </w:pPr>
    <w:rPr/>
  </w:style>
  <w:style w:type="paragraph" w:styleId="FollowedHyperlink1">
    <w:name w:val="FollowedHyperlink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14">
    <w:name w:val="Знак1"/>
    <w:basedOn w:val="Normal"/>
    <w:link w:val="Style_12_ch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Ctl1">
    <w:name w:val="ctl"/>
    <w:basedOn w:val="Normal"/>
    <w:link w:val="Style_13_ch"/>
    <w:qFormat/>
    <w:pPr>
      <w:spacing w:beforeAutospacing="1" w:after="115"/>
    </w:pPr>
    <w:rPr>
      <w:color w:val="000000"/>
      <w:sz w:val="20"/>
    </w:rPr>
  </w:style>
  <w:style w:type="paragraph" w:styleId="15">
    <w:name w:val="Абзац списка1"/>
    <w:basedOn w:val="Normal"/>
    <w:link w:val="Style_1_ch"/>
    <w:qFormat/>
    <w:pPr>
      <w:spacing w:lineRule="auto" w:line="276" w:before="0" w:after="200"/>
      <w:ind w:left="720" w:right="0" w:hanging="0"/>
    </w:pPr>
    <w:rPr>
      <w:rFonts w:ascii="Calibri" w:hAnsi="Calibri"/>
      <w:sz w:val="22"/>
    </w:rPr>
  </w:style>
  <w:style w:type="paragraph" w:styleId="ConsPlusTitle1">
    <w:name w:val="ConsPlusTitle"/>
    <w:link w:val="Style_14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BodyTextIndent21">
    <w:name w:val="Body Text Indent 2"/>
    <w:basedOn w:val="Normal"/>
    <w:link w:val="Style_15_ch"/>
    <w:qFormat/>
    <w:pPr>
      <w:spacing w:lineRule="auto" w:line="480" w:before="0" w:after="120"/>
      <w:ind w:left="283" w:right="0" w:hanging="0"/>
    </w:pPr>
    <w:rPr>
      <w:sz w:val="20"/>
    </w:rPr>
  </w:style>
  <w:style w:type="paragraph" w:styleId="ConsPlusNonformat1">
    <w:name w:val="ConsPlusNonformat"/>
    <w:link w:val="Style_16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6">
    <w:name w:val="Без интервала1"/>
    <w:link w:val="Style_1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next w:val="Normal"/>
    <w:link w:val="Style_18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Tahoma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BodyText31">
    <w:name w:val="Body Text 3"/>
    <w:basedOn w:val="Normal"/>
    <w:link w:val="Style_19_ch"/>
    <w:qFormat/>
    <w:pPr>
      <w:jc w:val="center"/>
    </w:pPr>
    <w:rPr>
      <w:sz w:val="20"/>
    </w:rPr>
  </w:style>
  <w:style w:type="paragraph" w:styleId="BodyText21">
    <w:name w:val="Body Text 2"/>
    <w:basedOn w:val="Normal"/>
    <w:link w:val="Style_20_ch"/>
    <w:qFormat/>
    <w:pPr>
      <w:jc w:val="center"/>
    </w:pPr>
    <w:rPr/>
  </w:style>
  <w:style w:type="paragraph" w:styleId="Highlightactive1">
    <w:name w:val="highlight_active"/>
    <w:basedOn w:val="Normal"/>
    <w:link w:val="Style_21_ch"/>
    <w:qFormat/>
    <w:pPr>
      <w:ind w:left="-36" w:right="-36" w:hanging="0"/>
    </w:pPr>
    <w:rPr>
      <w:color w:val="000000"/>
    </w:rPr>
  </w:style>
  <w:style w:type="paragraph" w:styleId="Style20">
    <w:name w:val="Верхний и нижний колонтитулы"/>
    <w:link w:val="Style_32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Header"/>
    <w:basedOn w:val="Normal"/>
    <w:link w:val="Style_23_ch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1">
    <w:name w:val="Normal (Web)"/>
    <w:basedOn w:val="Normal"/>
    <w:link w:val="Style_24_ch"/>
    <w:qFormat/>
    <w:pPr/>
    <w:rPr/>
  </w:style>
  <w:style w:type="paragraph" w:styleId="Highlighthighlightactive1">
    <w:name w:val="highlight highlight_active"/>
    <w:basedOn w:val="DefaultParagraphFont1"/>
    <w:link w:val="Style_26_ch"/>
    <w:qFormat/>
    <w:pPr/>
    <w:rPr/>
  </w:style>
  <w:style w:type="paragraph" w:styleId="Cjk1">
    <w:name w:val="cjk"/>
    <w:basedOn w:val="Normal"/>
    <w:link w:val="Style_28_ch"/>
    <w:qFormat/>
    <w:pPr>
      <w:spacing w:beforeAutospacing="1" w:after="115"/>
    </w:pPr>
    <w:rPr>
      <w:color w:val="000000"/>
      <w:sz w:val="20"/>
    </w:rPr>
  </w:style>
  <w:style w:type="paragraph" w:styleId="Internetlink">
    <w:name w:val="Internet link"/>
    <w:link w:val="Style_2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3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7">
    <w:name w:val="TOC 1"/>
    <w:next w:val="Normal"/>
    <w:link w:val="Style_31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Bsafepanelinjectcurrent1">
    <w:name w:val="b-safe-panel__inject-current"/>
    <w:basedOn w:val="Normal"/>
    <w:link w:val="Style_33_ch"/>
    <w:qFormat/>
    <w:pPr>
      <w:spacing w:beforeAutospacing="1" w:after="115"/>
    </w:pPr>
    <w:rPr>
      <w:color w:val="000000"/>
    </w:rPr>
  </w:style>
  <w:style w:type="paragraph" w:styleId="9">
    <w:name w:val="TOC 9"/>
    <w:next w:val="Normal"/>
    <w:link w:val="Style_3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Tahoma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01">
    <w:name w:val="Основной текст10"/>
    <w:basedOn w:val="Normal"/>
    <w:link w:val="Style_35_ch"/>
    <w:qFormat/>
    <w:pPr>
      <w:spacing w:lineRule="exact" w:line="320" w:before="0" w:after="600"/>
      <w:ind w:left="40" w:right="23" w:firstLine="680"/>
      <w:jc w:val="both"/>
    </w:pPr>
    <w:rPr>
      <w:sz w:val="26"/>
      <w:highlight w:val="white"/>
    </w:rPr>
  </w:style>
  <w:style w:type="paragraph" w:styleId="8">
    <w:name w:val="TOC 8"/>
    <w:next w:val="Normal"/>
    <w:link w:val="Style_36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Tahoma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Western1">
    <w:name w:val="western"/>
    <w:basedOn w:val="Normal"/>
    <w:link w:val="Style_37_ch"/>
    <w:qFormat/>
    <w:pPr>
      <w:spacing w:beforeAutospacing="1" w:after="115"/>
    </w:pPr>
    <w:rPr>
      <w:color w:val="000000"/>
      <w:sz w:val="20"/>
    </w:rPr>
  </w:style>
  <w:style w:type="paragraph" w:styleId="Style22">
    <w:name w:val="Знак"/>
    <w:basedOn w:val="Normal"/>
    <w:link w:val="Style_38_ch"/>
    <w:qFormat/>
    <w:pPr/>
    <w:rPr>
      <w:rFonts w:ascii="Verdana" w:hAnsi="Verdana"/>
      <w:sz w:val="20"/>
    </w:rPr>
  </w:style>
  <w:style w:type="paragraph" w:styleId="51">
    <w:name w:val="TOC 5"/>
    <w:next w:val="Normal"/>
    <w:link w:val="Style_40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Tahoma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Style_2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3">
    <w:name w:val="Footer"/>
    <w:basedOn w:val="Normal"/>
    <w:link w:val="Style_41_ch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Subtitle"/>
    <w:next w:val="Normal"/>
    <w:link w:val="Style_42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43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Tahoma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Title"/>
    <w:basedOn w:val="Normal"/>
    <w:link w:val="Style_44_ch"/>
    <w:uiPriority w:val="10"/>
    <w:qFormat/>
    <w:pPr>
      <w:jc w:val="center"/>
    </w:pPr>
    <w:rPr>
      <w:b/>
    </w:rPr>
  </w:style>
  <w:style w:type="paragraph" w:styleId="BalloonText1">
    <w:name w:val="Balloon Text"/>
    <w:basedOn w:val="Normal"/>
    <w:link w:val="Style_47_ch"/>
    <w:qFormat/>
    <w:pPr/>
    <w:rPr>
      <w:rFonts w:ascii="Segoe UI" w:hAnsi="Segoe UI"/>
      <w:sz w:val="18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Обычный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0"/>
      <w:lang w:val="ru-RU" w:eastAsia="ru-RU" w:bidi="ar-SA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LibreOffice/6.3.4.2$Windows_X86_64 LibreOffice_project/60da17e045e08f1793c57c00ba83cdfce946d0aa</Application>
  <Pages>7</Pages>
  <Words>2159</Words>
  <Characters>16928</Characters>
  <CharactersWithSpaces>18904</CharactersWithSpaces>
  <Paragraphs>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2020-04-22T15:33:14Z</cp:lastPrinted>
  <dcterms:modified xsi:type="dcterms:W3CDTF">2020-04-22T15:33:33Z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