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№3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20.11.2013г №2053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>
          <w:trHeight w:val="11115" w:hRule="atLeast"/>
        </w:trPr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right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455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6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6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43102040,69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18572972,97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39860640,69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15331572,97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43102040,69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18572972,97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43102040,69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18572972,97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39860640,69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15331572,97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6595699,29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12783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1765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902431,34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191800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9087003,09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1819967,66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1229235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19685319,97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11031282,97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sz w:val="22"/>
                      <w:szCs w:val="22"/>
                    </w:rPr>
                    <w:t>1870490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1870490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56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3</Pages>
  <Words>336</Words>
  <CharactersWithSpaces>2887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2020-08-19T05:27:00Z</dcterms:created>
  <dc:creator>Бухгалтер</dc:creator>
  <dc:description/>
  <dc:language>ru-RU</dc:language>
  <cp:lastModifiedBy/>
  <cp:lastPrinted>2020-08-21T11:52:13Z</cp:lastPrinted>
  <dcterms:modified xsi:type="dcterms:W3CDTF">2020-08-21T11:52:17Z</dcterms:modified>
  <cp:revision>5</cp:revision>
  <dc:subject/>
  <dc:title/>
</cp:coreProperties>
</file>