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5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  <w:i/>
          <w:iCs/>
          <w:sz w:val="28"/>
          <w:szCs w:val="28"/>
        </w:rPr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21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  <w:t>АДМИНИСТРАЦИЯ КАМЫШЛОВСКОГО ГОРОДСКОГО ОКРУГА</w:t>
      </w:r>
    </w:p>
    <w:p>
      <w:pPr>
        <w:pStyle w:val="Style35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5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yle2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 xml:space="preserve">от </w:t>
      </w:r>
      <w:r>
        <w:rPr>
          <w:rStyle w:val="Style2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>20</w:t>
      </w:r>
      <w:r>
        <w:rPr>
          <w:rStyle w:val="Style2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>.03.2020   № 1</w:t>
      </w:r>
      <w:r>
        <w:rPr>
          <w:rStyle w:val="Style2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>9</w:t>
      </w:r>
      <w:r>
        <w:rPr>
          <w:rStyle w:val="Style21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</w:rPr>
        <w:t>5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8"/>
          <w:szCs w:val="28"/>
        </w:rPr>
      </w:pPr>
      <w:bookmarkStart w:id="0" w:name="__DdeLink__96_4275977877"/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</w:r>
    </w:p>
    <w:p>
      <w:pPr>
        <w:pStyle w:val="Normal"/>
        <w:suppressAutoHyphens w:val="true"/>
        <w:spacing w:lineRule="auto" w:line="228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На основании Указа Губернатора Свердловской области от 18.03.2020 года № 100-УГ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 –</w:t>
      </w:r>
      <w:r>
        <w:rPr>
          <w:rFonts w:cs="Times New Roman" w:ascii="Liberation Serif" w:hAnsi="Liberation Serif"/>
          <w:sz w:val="28"/>
          <w:szCs w:val="28"/>
          <w:lang w:val="en-US"/>
        </w:rPr>
        <w:t>nCoV</w:t>
      </w:r>
      <w:r>
        <w:rPr>
          <w:rFonts w:cs="Times New Roman" w:ascii="Liberation Serif" w:hAnsi="Liberation Serif"/>
          <w:sz w:val="28"/>
          <w:szCs w:val="28"/>
        </w:rPr>
        <w:t>), Приказа Министерства культуры Свердловской области от 18.03.2020 года № 140 « О деятельности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в условиях угрозы распространения новой кононавирусной инфекции (2019-</w:t>
      </w:r>
      <w:r>
        <w:rPr>
          <w:rFonts w:cs="Times New Roman" w:ascii="Liberation Serif" w:hAnsi="Liberation Serif"/>
          <w:sz w:val="28"/>
          <w:szCs w:val="28"/>
          <w:lang w:val="en-US"/>
        </w:rPr>
        <w:t>nCoV</w:t>
      </w:r>
      <w:r>
        <w:rPr>
          <w:rFonts w:cs="Times New Roman" w:ascii="Liberation Serif" w:hAnsi="Liberation Serif"/>
          <w:sz w:val="28"/>
          <w:szCs w:val="28"/>
        </w:rPr>
        <w:t xml:space="preserve">) на территории Свердловской области»  и  решения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заседания межведомственной санитарно-противоэпидемической комиссии на территории Камышловского городского округа </w:t>
      </w:r>
      <w:r>
        <w:rPr>
          <w:rFonts w:cs="Times New Roman" w:ascii="Liberation Serif" w:hAnsi="Liberation Serif"/>
          <w:sz w:val="28"/>
          <w:szCs w:val="28"/>
        </w:rPr>
        <w:t xml:space="preserve">от 20 марта 2020 года, в целях недопущения распространения </w:t>
      </w:r>
      <w:r>
        <w:rPr>
          <w:rFonts w:cs="Times New Roman" w:ascii="Liberation Serif" w:hAnsi="Liberation Serif"/>
          <w:bCs/>
          <w:iCs/>
          <w:sz w:val="28"/>
          <w:szCs w:val="28"/>
        </w:rPr>
        <w:t>коронавирусной инфекции на территории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28" w:before="0" w:after="0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80" w:leader="none"/>
        </w:tabs>
        <w:suppressAutoHyphens w:val="true"/>
        <w:spacing w:lineRule="auto" w:line="228" w:before="0" w:after="0"/>
        <w:ind w:left="0" w:firstLine="709"/>
        <w:contextualSpacing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>Пункт 2 постановления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r>
        <w:rPr>
          <w:rFonts w:cs="Times New Roman" w:ascii="Liberation Serif" w:hAnsi="Liberation Serif"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en-US" w:eastAsia="ru-RU" w:bidi="ar-SA"/>
        </w:rPr>
        <w:t>и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зло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жить</w:t>
      </w:r>
      <w:r>
        <w:rPr>
          <w:rFonts w:cs="Times New Roman" w:ascii="Liberation Serif" w:hAnsi="Liberation Serif"/>
          <w:bCs/>
          <w:sz w:val="28"/>
          <w:szCs w:val="28"/>
          <w:lang w:val="ru-RU"/>
        </w:rPr>
        <w:t xml:space="preserve"> </w:t>
      </w:r>
      <w:r>
        <w:rPr>
          <w:rFonts w:cs="Times New Roman" w:ascii="Liberation Serif" w:hAnsi="Liberation Serif"/>
          <w:bCs/>
          <w:sz w:val="28"/>
          <w:szCs w:val="28"/>
        </w:rPr>
        <w:t xml:space="preserve">в новой редакции: «Отменить проведение на территории Камышловского городского округа деловых, спортивных, культурных, развлекательных и иных массовых мероприятий с 20 марта по 12 апреля 2020 года.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80" w:leader="none"/>
        </w:tabs>
        <w:suppressAutoHyphens w:val="true"/>
        <w:spacing w:lineRule="auto" w:line="228" w:before="0" w:after="0"/>
        <w:ind w:left="0" w:firstLine="567"/>
        <w:contextualSpacing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Обязать жителей Камышловского городского округа, вернувшихся из иностранных 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государств</w:t>
      </w:r>
      <w:r>
        <w:rPr>
          <w:rFonts w:cs="Times New Roman" w:ascii="Liberation Serif" w:hAnsi="Liberation Serif"/>
          <w:bCs/>
          <w:sz w:val="28"/>
          <w:szCs w:val="28"/>
        </w:rPr>
        <w:t>: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28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Сообщать о своем возвращении, месте, датах пребывания на территории иностранного государства в поликлинику ГБУЗ СО «Камышловская центральная районная больница» по телефону (34375) 4-75-93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При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Соблюдать постановления санитарных врачей о нахождении в режиме изоляции на дому.</w:t>
        <w:tab/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bCs/>
          <w:sz w:val="28"/>
          <w:szCs w:val="28"/>
        </w:rPr>
        <w:t xml:space="preserve">3. Обязать жителей Камышловского городского округа совместно проживающих в период обеспечения изоляции с лицами, указанными в пункте </w:t>
      </w:r>
      <w:r>
        <w:rPr>
          <w:rFonts w:eastAsia="Times New Roman" w:cs="Times New Roman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Liberation Serif" w:hAnsi="Liberation Serif"/>
          <w:bCs/>
          <w:sz w:val="28"/>
          <w:szCs w:val="28"/>
        </w:rPr>
        <w:t xml:space="preserve"> настоящего постановления, а </w:t>
      </w:r>
      <w:bookmarkStart w:id="1" w:name="_GoBack"/>
      <w:bookmarkEnd w:id="1"/>
      <w:r>
        <w:rPr>
          <w:rFonts w:cs="Times New Roman" w:ascii="Liberation Serif" w:hAnsi="Liberation Serif"/>
          <w:bCs/>
          <w:sz w:val="28"/>
          <w:szCs w:val="28"/>
        </w:rPr>
        <w:t>также лицам, в отношении которых приняты постановления санитарных врачей об изоляции, обеспечить самоизоляцию на дому сроком 14 дней, либо на срок, указанный в постановлени</w:t>
      </w:r>
      <w:r>
        <w:rPr>
          <w:rFonts w:cs="Times New Roman" w:ascii="Liberation Serif" w:hAnsi="Liberation Serif"/>
          <w:bCs/>
          <w:sz w:val="28"/>
          <w:szCs w:val="28"/>
        </w:rPr>
        <w:t>и</w:t>
      </w:r>
      <w:r>
        <w:rPr>
          <w:rFonts w:cs="Times New Roman" w:ascii="Liberation Serif" w:hAnsi="Liberation Serif"/>
          <w:bCs/>
          <w:sz w:val="28"/>
          <w:szCs w:val="28"/>
        </w:rPr>
        <w:t xml:space="preserve"> санитарных врачей.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4. Комитету по образованию, культуре, спорту и делам молодежи администрации Камышловского городского округа: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Организовать введение в общеобразовательных организациях Камышловского городского округа с 21 марта по 31 марта 2020 года весенни</w:t>
      </w:r>
      <w:r>
        <w:rPr>
          <w:rFonts w:cs="Times New Roman" w:ascii="Liberation Serif" w:hAnsi="Liberation Serif"/>
          <w:sz w:val="28"/>
          <w:szCs w:val="28"/>
        </w:rPr>
        <w:t>х</w:t>
      </w:r>
      <w:r>
        <w:rPr>
          <w:rFonts w:cs="Times New Roman" w:ascii="Liberation Serif" w:hAnsi="Liberation Serif"/>
          <w:sz w:val="28"/>
          <w:szCs w:val="28"/>
        </w:rPr>
        <w:t xml:space="preserve"> каникул и с 1 апреля по 12 апреля 2020 года дистанционное обучение учащихся либо обучение по индивидуальному плану.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Обеспечить возможность свободного посещения детьми дошкольных образовательных учреждений Камышловского городского округа по усмотрению родителей (законных представителей).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Приостановить образовательную деятельность в учреждениях дополнительного образования Камышловского городского округа с 20 марта 2020 года до особого распоряжения. 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Приостановить занятия в клубных формированиях, самодеятельных творческих коллективах, а также посещение кинозалов в культурно-досуговых учреждениях Камышловского городского округа до особого распоряжения.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Исключить обслуживание посетителей в зданиях библиотек и обеспечить предоставление удаленного доступа к информационным ресурсам библиотек. 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Приостановить допуск посетителей в музеи и учреждения, осуществляющие выставочную деятельность до особого распоряжения.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Исключить выезды творческих коллективов и обучающихся всех образовательных учреждений и учреждений дополнительного образования на территории других городов и регионов Российской Федерации, государств.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Опубликовать настоящее постановление в газете «Камышловские известия» и на сайте Камышловского городского округа.</w:t>
      </w:r>
    </w:p>
    <w:p>
      <w:pPr>
        <w:pStyle w:val="Normal"/>
        <w:tabs>
          <w:tab w:val="clear" w:pos="709"/>
          <w:tab w:val="left" w:pos="180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720" w:leader="none"/>
        </w:tabs>
        <w:suppressAutoHyphens w:val="true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variable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cc"/>
    <w:family w:val="modern"/>
    <w:pitch w:val="fixed"/>
  </w:font>
  <w:font w:name="Tahoma">
    <w:charset w:val="cc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79fa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46b06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950a4"/>
    <w:rPr>
      <w:rFonts w:ascii="Calibri" w:hAnsi="Calibri" w:eastAsia="Times New Roman" w:cs="Calibri"/>
      <w:lang w:eastAsia="ru-RU"/>
    </w:rPr>
  </w:style>
  <w:style w:type="character" w:styleId="Style16">
    <w:name w:val="Привязка концевой сноски"/>
    <w:rPr>
      <w:vertAlign w:val="superscript"/>
    </w:rPr>
  </w:style>
  <w:style w:type="character" w:styleId="WWCharLFO9LVL1">
    <w:name w:val="WW_CharLFO9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4LVL9">
    <w:name w:val="WW_CharLFO4LVL9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3LVL1">
    <w:name w:val="WW_CharLFO3LVL1"/>
    <w:qFormat/>
    <w:rPr>
      <w:color w:val="000000"/>
    </w:rPr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>
    <w:name w:val="Символ концевой сноски"/>
    <w:qFormat/>
    <w:rPr/>
  </w:style>
  <w:style w:type="character" w:styleId="Style18">
    <w:name w:val="Интернет-ссылка"/>
    <w:rPr>
      <w:color w:val="000080"/>
      <w:u w:val="single"/>
    </w:rPr>
  </w:style>
  <w:style w:type="character" w:styleId="21">
    <w:name w:val="Заголовок 2 Знак"/>
    <w:basedOn w:val="Style21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Гипертекстовая ссылка"/>
    <w:basedOn w:val="Style21"/>
    <w:qFormat/>
    <w:rPr>
      <w:color w:val="106BB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Bodytext3">
    <w:name w:val="Body text (3)_"/>
    <w:basedOn w:val="Style21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">
    <w:name w:val="Body text_"/>
    <w:basedOn w:val="Style21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>
    <w:name w:val="Номер страницы"/>
    <w:basedOn w:val="Style21"/>
    <w:rPr/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Times New Roman" w:hAnsi="Times New Roman"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6b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f25"/>
    <w:pPr>
      <w:spacing w:before="0" w:after="20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7"/>
    <w:uiPriority w:val="99"/>
    <w:unhideWhenUsed/>
    <w:rsid w:val="00f950a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9"/>
    <w:uiPriority w:val="99"/>
    <w:unhideWhenUsed/>
    <w:rsid w:val="00f950a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cs="Calibri" w:ascii="Times New Roman" w:hAnsi="Times New Roman" w:eastAsia="Tahoma"/>
      <w:color w:val="auto"/>
      <w:kern w:val="2"/>
      <w:sz w:val="24"/>
      <w:szCs w:val="24"/>
      <w:lang w:val="ru-RU" w:eastAsia="zh-CN" w:bidi="hi-IN"/>
    </w:rPr>
  </w:style>
  <w:style w:type="paragraph" w:styleId="Style31">
    <w:name w:val="Содержимое врезки"/>
    <w:basedOn w:val="Normal"/>
    <w:qFormat/>
    <w:pPr>
      <w:suppressAutoHyphens w:val="true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2">
    <w:name w:val="Абзац списка"/>
    <w:basedOn w:val="Normal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Courier New" w:hAnsi="Courier New" w:cs="Courier New" w:eastAsia="Tahoma"/>
      <w:color w:val="auto"/>
      <w:kern w:val="2"/>
      <w:sz w:val="20"/>
      <w:szCs w:val="20"/>
      <w:lang w:eastAsia="ru-RU" w:val="ru-RU" w:bidi="hi-IN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Style33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35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B77E-9299-40F8-B889-0047993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LibreOffice/6.3.4.2$Windows_X86_64 LibreOffice_project/60da17e045e08f1793c57c00ba83cdfce946d0aa</Application>
  <Pages>2</Pages>
  <Words>510</Words>
  <Characters>3748</Characters>
  <CharactersWithSpaces>4286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2020-03-13T08:40:00Z</dcterms:created>
  <dc:creator>GP</dc:creator>
  <dc:description/>
  <dc:language>ru-RU</dc:language>
  <cp:lastModifiedBy/>
  <cp:lastPrinted>2020-03-20T16:17:14Z</cp:lastPrinted>
  <dcterms:modified xsi:type="dcterms:W3CDTF">2020-03-20T16:20:41Z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