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Style13"/>
          <w:rFonts w:ascii="Liberation Serif" w:hAnsi="Liberation Serif"/>
          <w:sz w:val="28"/>
          <w:szCs w:val="28"/>
          <w:lang w:eastAsia="ru-RU" w:bidi="ar-SA"/>
        </w:rPr>
        <w:drawing>
          <wp:inline distT="0" distB="0" distL="0" distR="0">
            <wp:extent cx="421640" cy="60896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0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  <w:lang w:eastAsia="ru-RU" w:bidi="ar-SA"/>
        </w:rPr>
        <w:t xml:space="preserve">от </w:t>
      </w:r>
      <w:r>
        <w:rPr>
          <w:rStyle w:val="Style13"/>
          <w:rFonts w:ascii="Liberation Serif" w:hAnsi="Liberation Serif"/>
          <w:b/>
          <w:bCs/>
          <w:sz w:val="28"/>
          <w:szCs w:val="28"/>
          <w:lang w:eastAsia="ru-RU" w:bidi="ar-SA"/>
        </w:rPr>
        <w:t>30</w:t>
      </w:r>
      <w:r>
        <w:rPr>
          <w:rStyle w:val="Style13"/>
          <w:rFonts w:ascii="Liberation Serif" w:hAnsi="Liberation Serif"/>
          <w:b/>
          <w:bCs/>
          <w:sz w:val="28"/>
          <w:szCs w:val="28"/>
          <w:lang w:eastAsia="ru-RU" w:bidi="ar-SA"/>
        </w:rPr>
        <w:t>.01.2023</w:t>
      </w:r>
      <w:r>
        <w:rPr>
          <w:rStyle w:val="Style13"/>
          <w:rFonts w:ascii="Liberation Serif" w:hAnsi="Liberation Serif"/>
          <w:b/>
          <w:bCs/>
          <w:sz w:val="28"/>
          <w:szCs w:val="28"/>
          <w:lang w:eastAsia="ru-RU" w:bidi="ar-SA"/>
        </w:rPr>
        <w:t xml:space="preserve">  № </w:t>
      </w:r>
      <w:r>
        <w:rPr>
          <w:rStyle w:val="Style13"/>
          <w:rFonts w:ascii="Liberation Serif" w:hAnsi="Liberation Serif"/>
          <w:b/>
          <w:bCs/>
          <w:sz w:val="28"/>
          <w:szCs w:val="28"/>
          <w:lang w:eastAsia="ru-RU" w:bidi="ar-SA"/>
        </w:rPr>
        <w:t>96</w:t>
      </w:r>
    </w:p>
    <w:p>
      <w:pPr>
        <w:pStyle w:val="ConsPlusNormal"/>
        <w:ind w:left="0" w:right="0" w:firstLine="54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ConsPlusNormal"/>
        <w:suppressAutoHyphens w:val="true"/>
        <w:ind w:left="0" w:right="0" w:firstLine="54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Об утверждении порядка организации периодических проверок (обходов и осмотров) территорий мест массового пребывания людей, находящихся в муниципальной собственности, с целью выявления и предотвращения несанкционированного проноса (провоза) и применения</w:t>
      </w:r>
    </w:p>
    <w:p>
      <w:pPr>
        <w:pStyle w:val="ConsPlusNormal"/>
        <w:suppressAutoHyphens w:val="true"/>
        <w:ind w:left="0" w:right="0" w:firstLine="54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в таких местах токсичных химикатов, отравляющих веществ</w:t>
      </w:r>
    </w:p>
    <w:p>
      <w:pPr>
        <w:pStyle w:val="ConsPlusNormal"/>
        <w:suppressAutoHyphens w:val="true"/>
        <w:ind w:left="0" w:right="0" w:firstLine="54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и патогенных биологических агентов (в том числе при получении </w:t>
      </w:r>
    </w:p>
    <w:p>
      <w:pPr>
        <w:pStyle w:val="ConsPlusNormal"/>
        <w:suppressAutoHyphens w:val="true"/>
        <w:ind w:left="0" w:right="0" w:firstLine="54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их посредством почтовых отправлений)</w:t>
      </w:r>
    </w:p>
    <w:p>
      <w:pPr>
        <w:pStyle w:val="ConsPlusNormal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autoSpaceDE w:val="false"/>
        <w:ind w:left="0" w:right="0" w:firstLine="737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соответствии с Федеральным законом от 6 марта 2006 года N 35-ФЗ «О противодействии терроризму», Постановлением Правительства Российской Федерации от 25.03.2015 N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с целью реализации подпункта 2 пункта 3 распоряжения Губернатора Свердловской области от 04.10.2022 № 239-РГ «О реализации решений антитеррористической комиссии в Свердловской области», профилактики терроризма, минимизации и ликвидации его проявлений на территории Камышловского городского округа, администрация Камышловского городского округа   </w:t>
      </w:r>
    </w:p>
    <w:p>
      <w:pPr>
        <w:pStyle w:val="Normal"/>
        <w:suppressAutoHyphens w:val="true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suppressAutoHyphens w:val="true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 Утвердить Порядок организации периодических проверок (обходов и осмотров) территорий мест массового пребывания людей, находящихся в муниципальной собственности, с целью выявления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 (в том числе при получении их посредством почтовых отправлений)</w:t>
      </w:r>
      <w:r>
        <w:rPr/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(далее - Порядок) (прилагается).;</w:t>
      </w:r>
    </w:p>
    <w:p>
      <w:pPr>
        <w:pStyle w:val="Normal"/>
        <w:suppressAutoHyphens w:val="tru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Normal"/>
        <w:suppressAutoHyphens w:val="tru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Normal"/>
        <w:suppressAutoHyphens w:val="tru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tabs>
          <w:tab w:val="clear" w:pos="709"/>
        </w:tabs>
        <w:ind w:left="5670" w:right="0" w:hanging="0"/>
        <w:jc w:val="left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>У</w:t>
      </w:r>
      <w:r>
        <w:rPr>
          <w:rFonts w:ascii="Liberation Serif" w:hAnsi="Liberation Serif"/>
          <w:b/>
          <w:bCs/>
        </w:rPr>
        <w:t>ТВЕРЖДЕН</w:t>
      </w:r>
    </w:p>
    <w:p>
      <w:pPr>
        <w:pStyle w:val="Normal"/>
        <w:tabs>
          <w:tab w:val="clear" w:pos="709"/>
        </w:tabs>
        <w:ind w:left="56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постановлением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</w:t>
      </w:r>
    </w:p>
    <w:p>
      <w:pPr>
        <w:pStyle w:val="Normal"/>
        <w:tabs>
          <w:tab w:val="clear" w:pos="709"/>
        </w:tabs>
        <w:ind w:left="56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30.01.</w:t>
      </w:r>
      <w:r>
        <w:rPr>
          <w:rFonts w:ascii="Liberation Serif" w:hAnsi="Liberation Serif"/>
        </w:rPr>
        <w:t xml:space="preserve">2023   № </w:t>
      </w:r>
      <w:r>
        <w:rPr>
          <w:rFonts w:ascii="Liberation Serif" w:hAnsi="Liberation Serif"/>
        </w:rPr>
        <w:t>96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ПОРЯДОК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организации периодических проверок (обходов и осмотров) территорий мест массового пребывания людей, находящихся в муниципальной собственности, с целью выявления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 (в том числе при получении их посредством почтовых отправлений)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ОБЩИЕ ПОЛОЖЕНИЯ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Настоящий Порядок организации периодических проверок (обходов и осмотров) территорий мест массового пребывания людей, находящихся в муниципальной собственности, с целью выявления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 (в том числе при получении их посредством почтовых отправлений) (далее - объекты и ММПЛ) в области антитеррористической защищенности, в период проведения массовых мероприятий.</w:t>
      </w:r>
    </w:p>
    <w:p>
      <w:pPr>
        <w:pStyle w:val="Normal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массового пребывания людей (ММПЛ) -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>
      <w:pPr>
        <w:pStyle w:val="Normal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Проверки (обход и осмотр) объектов и ММПЛ при проведении публичных, спортивных, зрелищных и иных массовых мероприятий на территории Камышловского городского округа организовываются в зависимости от категории объекта и степени угрозы совершения на них террористических актов и возможных последствий их совершения.</w:t>
      </w:r>
    </w:p>
    <w:p>
      <w:pPr>
        <w:pStyle w:val="Normal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Основной задачей антитеррористической защищенности объектов и ММПЛ при проведении публичных, спортивных, зрелищных и иных массовых мероприятий является определение и устранение причин и условий, способствующих совершению террористических актов в ММПЛ.</w:t>
      </w:r>
    </w:p>
    <w:p>
      <w:pPr>
        <w:pStyle w:val="Normal"/>
        <w:suppressAutoHyphens w:val="true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1.4. Проверки (обход и осмотр) объектов и ММПЛ при проведении публичных, спортивных, зрелищных и иных массовых мероприятий</w:t>
      </w:r>
      <w:r>
        <w:rPr/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с целью выявления,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 (в том числе при получении их посредством почтовых отправлений) организуется организатором мероприятия с привлечением сотрудников  Филиала  Федерального бюджетного учреждения здравоохранения «Центр гигиены и эпидемиологии в Свердловской области в Талицком, Байкаловском, Тугулымском  районах, г. Камышлов, Камышловском, Пышминском районах».</w:t>
      </w:r>
    </w:p>
    <w:p>
      <w:pPr>
        <w:pStyle w:val="Normal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ПЕРИОДИЧНОСТЬ ПРОВЕДЕНИЯ ПРОВЕРОК</w:t>
      </w:r>
    </w:p>
    <w:p>
      <w:pPr>
        <w:pStyle w:val="ConsPlusTitl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(ОБХОДА И ОСМОТРА) ТЕРРИТОРИЙ, ММПЛ</w:t>
      </w:r>
    </w:p>
    <w:p>
      <w:pPr>
        <w:pStyle w:val="ConsPlusNormal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2.1. При проведении массовых мероприятий в ММПЛ контроль обстановки в едином информационном пространстве в режиме реального времени осуществляется через функционирующие системы видеонаблюдения, выведенные в муниципальную подсистему видеонаблюдения сегментов аппаратно-программного комплекса «Безопасный город» расположенной в единой дежурной диспетчерской службе Камышловского городского округа.</w:t>
      </w:r>
    </w:p>
    <w:p>
      <w:pPr>
        <w:pStyle w:val="ConsPlusNormal"/>
        <w:suppressAutoHyphens w:val="true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Организатор мероприятия обязан:</w:t>
      </w:r>
    </w:p>
    <w:p>
      <w:pPr>
        <w:pStyle w:val="Normal"/>
        <w:suppressAutoHyphens w:val="true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2.2.1. В целях выявления посторонних лиц и предотвращения несанкционированного проноса (провоза) и применения в ММПЛ токсичных химикатов, отравляющих веществ и патогенных биологических агентов (в том числе при получении их посредством почтовых отправлений), не позднее чем за 3 часа до начала массового мероприятия, провести проверку (обход и осмотр)   (территории) ММПЛ с</w:t>
      </w:r>
      <w:r>
        <w:rPr/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привлечением сотрудников  Филиала  Федерального бюджетного учреждения здравоохранения «Центр гигиены и эпидемиологии в Свердловской области в Талицком, Байкаловском, Тугулымском  районах, г. Камышлов, Камышловском, Пышминском районах»</w:t>
      </w:r>
      <w:r>
        <w:rPr/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 xml:space="preserve">с составлением соответствующего акта.  </w:t>
      </w:r>
    </w:p>
    <w:p>
      <w:pPr>
        <w:pStyle w:val="Normal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2.2.2. Организовать взаимодействие с администрацией Камышловского городского округа, Межмуниципальным отделом МВД России «Камышловский» и иными правоохранительными органами, общественными объединениями правоохранительной направленности и иными негосударственными организациями, действующих на территории Камышловского городского округа, в решение вопросов обеспечения общественного порядка и общественной безопасности, а также антитеррористической защищенности.</w:t>
      </w:r>
    </w:p>
    <w:p>
      <w:pPr>
        <w:pStyle w:val="Normal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2.2.3. Организовывать контролируемый допуск на (территории) ММПЛ автотранспортных средств, а также по возможности физических лиц, путём выставления инженерно-технического оборудования, обеспечивающего безопасность и ограничение доступа, ограничение движения транспортных средств, в том числе грузового автотранспорта, исключающие возможность их несанкционированному выезду непосредственно в места скопления граждан.</w:t>
      </w:r>
    </w:p>
    <w:p>
      <w:pPr>
        <w:pStyle w:val="Normal"/>
        <w:suppressAutoHyphens w:val="true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2.2.4. Во взаимодействии с правоохранительными органами организовать оперативное оповещение и эвакуацию людей в случае угрозы применения или непосредственного применения в ММПЛ токсичных химикатов, отравляющих веществ и патогенных биологических агентов. </w:t>
      </w:r>
    </w:p>
    <w:p>
      <w:pPr>
        <w:pStyle w:val="Normal"/>
        <w:suppressAutoHyphens w:val="tru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48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PT Astra Serif" w:hAnsi="PT Astra Serif" w:eastAsia="Tahoma" w:cs="Noto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WW8Num1z0">
    <w:name w:val="WW8Num1z0"/>
    <w:qFormat/>
    <w:rPr>
      <w:szCs w:val="28"/>
    </w:rPr>
  </w:style>
  <w:style w:type="character" w:styleId="Style14">
    <w:name w:val="Верхний колонтитул Знак"/>
    <w:basedOn w:val="Style13"/>
    <w:qFormat/>
    <w:rPr>
      <w:rFonts w:cs="Mangal"/>
      <w:szCs w:val="21"/>
    </w:rPr>
  </w:style>
  <w:style w:type="character" w:styleId="Style15">
    <w:name w:val="Нижний колонтитул Знак"/>
    <w:basedOn w:val="Style13"/>
    <w:qFormat/>
    <w:rPr>
      <w:rFonts w:cs="Mangal"/>
      <w:szCs w:val="21"/>
    </w:rPr>
  </w:style>
  <w:style w:type="character" w:styleId="Style16">
    <w:name w:val="Текст выноски Знак"/>
    <w:basedOn w:val="Style13"/>
    <w:qFormat/>
    <w:rPr>
      <w:rFonts w:ascii="Segoe UI" w:hAnsi="Segoe UI" w:cs="Mangal"/>
      <w:sz w:val="18"/>
      <w:szCs w:val="16"/>
    </w:rPr>
  </w:style>
  <w:style w:type="character" w:styleId="WWCharLFO1LVL1">
    <w:name w:val="WW_CharLFO1LVL1"/>
    <w:qFormat/>
    <w:rPr>
      <w:szCs w:val="28"/>
    </w:rPr>
  </w:style>
  <w:style w:type="character" w:styleId="WWCharLFO1LVL2">
    <w:name w:val="WW_CharLFO1LVL2"/>
    <w:qFormat/>
    <w:rPr>
      <w:szCs w:val="28"/>
    </w:rPr>
  </w:style>
  <w:style w:type="character" w:styleId="WWCharLFO1LVL3">
    <w:name w:val="WW_CharLFO1LVL3"/>
    <w:qFormat/>
    <w:rPr>
      <w:szCs w:val="28"/>
    </w:rPr>
  </w:style>
  <w:style w:type="character" w:styleId="WWCharLFO1LVL4">
    <w:name w:val="WW_CharLFO1LVL4"/>
    <w:qFormat/>
    <w:rPr>
      <w:szCs w:val="28"/>
    </w:rPr>
  </w:style>
  <w:style w:type="character" w:styleId="WWCharLFO1LVL5">
    <w:name w:val="WW_CharLFO1LVL5"/>
    <w:qFormat/>
    <w:rPr>
      <w:szCs w:val="28"/>
    </w:rPr>
  </w:style>
  <w:style w:type="character" w:styleId="WWCharLFO1LVL6">
    <w:name w:val="WW_CharLFO1LVL6"/>
    <w:qFormat/>
    <w:rPr>
      <w:szCs w:val="28"/>
    </w:rPr>
  </w:style>
  <w:style w:type="character" w:styleId="WWCharLFO1LVL7">
    <w:name w:val="WW_CharLFO1LVL7"/>
    <w:qFormat/>
    <w:rPr>
      <w:szCs w:val="28"/>
    </w:rPr>
  </w:style>
  <w:style w:type="character" w:styleId="WWCharLFO1LVL8">
    <w:name w:val="WW_CharLFO1LVL8"/>
    <w:qFormat/>
    <w:rPr>
      <w:szCs w:val="28"/>
    </w:rPr>
  </w:style>
  <w:style w:type="character" w:styleId="WWCharLFO1LVL9">
    <w:name w:val="WW_CharLFO1LVL9"/>
    <w:qFormat/>
    <w:rPr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sz w:val="28"/>
      <w:szCs w:val="28"/>
    </w:rPr>
  </w:style>
  <w:style w:type="paragraph" w:styleId="Style19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PT Astra Serif" w:hAnsi="PT Astra Serif" w:eastAsia="Tahoma" w:cs="Noto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1">
    <w:name w:val="List"/>
    <w:basedOn w:val="Style19"/>
    <w:pPr>
      <w:suppressAutoHyphens w:val="true"/>
    </w:pPr>
    <w:rPr>
      <w:rFonts w:eastAsia="PT Astra Serif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eastAsia="PT Astra Serif"/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>
      <w:rFonts w:eastAsia="PT Astra Serif"/>
    </w:rPr>
  </w:style>
  <w:style w:type="paragraph" w:styleId="Style24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26">
    <w:name w:val="Foot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27">
    <w:name w:val="Текст выноски"/>
    <w:basedOn w:val="Style20"/>
    <w:qFormat/>
    <w:pPr>
      <w:suppressAutoHyphens w:val="true"/>
    </w:pPr>
    <w:rPr>
      <w:rFonts w:ascii="Segoe UI" w:hAnsi="Segoe UI" w:cs="Mangal"/>
      <w:sz w:val="18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bidi="ar-SA" w:val="ru-RU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bidi="ar-SA" w:val="ru-RU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LibreOffice/7.3.6.2$Linux_X86_64 LibreOffice_project/30$Build-2</Application>
  <AppVersion>15.0000</AppVersion>
  <Pages>4</Pages>
  <Words>804</Words>
  <Characters>6052</Characters>
  <CharactersWithSpaces>6898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2022-03-04T06:20:00Z</dcterms:created>
  <dc:creator/>
  <dc:description/>
  <dc:language>ru-RU</dc:language>
  <cp:lastModifiedBy/>
  <cp:lastPrinted>2023-02-02T14:19:32Z</cp:lastPrinted>
  <dcterms:modified xsi:type="dcterms:W3CDTF">2023-02-02T14:23:45Z</dcterms:modified>
  <cp:revision>36</cp:revision>
  <dc:subject/>
  <dc:title/>
</cp:coreProperties>
</file>